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91E" w:rsidRDefault="0011591E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b/>
          <w:bCs/>
          <w:color w:val="262626"/>
          <w:spacing w:val="-6"/>
        </w:rPr>
      </w:pPr>
      <w:r w:rsidRPr="00DE6470">
        <w:rPr>
          <w:b/>
          <w:bCs/>
          <w:color w:val="262626"/>
          <w:spacing w:val="-6"/>
        </w:rPr>
        <w:t>Население и приравненные к нему категории потребителей</w:t>
      </w:r>
    </w:p>
    <w:p w:rsidR="00DE6470" w:rsidRPr="00DE6470" w:rsidRDefault="00DE6470" w:rsidP="00DE6470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</w:t>
      </w:r>
      <w:r w:rsidRPr="00DE6470">
        <w:rPr>
          <w:color w:val="262626"/>
          <w:spacing w:val="-6"/>
        </w:rPr>
        <w:t xml:space="preserve">Определение объемов электроэнергии, подлежащих оплате в расчетном периоде, осуществляется на основании показаний приборов учета, установленных в отношении энергопринимающих устройств потребителя. </w:t>
      </w:r>
    </w:p>
    <w:p w:rsidR="00DE6470" w:rsidRDefault="00DE6470" w:rsidP="00DE647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62626"/>
          <w:spacing w:val="-6"/>
        </w:rPr>
      </w:pPr>
      <w:r w:rsidRPr="00DE6470">
        <w:rPr>
          <w:color w:val="262626"/>
          <w:spacing w:val="-6"/>
        </w:rPr>
        <w:t xml:space="preserve">   Однако в ряде случаев для определения объемов электроэнергии, подлежащих оплате в расчетном периоде, используются расчётные способы.</w:t>
      </w:r>
    </w:p>
    <w:p w:rsidR="0011591E" w:rsidRPr="00DE6470" w:rsidRDefault="0011591E" w:rsidP="00DE647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62626"/>
          <w:spacing w:val="-6"/>
        </w:rPr>
      </w:pPr>
      <w:r w:rsidRPr="00DE6470">
        <w:rPr>
          <w:color w:val="262626"/>
          <w:spacing w:val="-6"/>
        </w:rPr>
        <w:t>Определение объема поставленной коммунальной услуги по электроснабжению жилых помещений осуществляется с применением расчетных способов, указанных в пунктах 59 и 60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 06.05.2011 № 354 (далее – Правила № 354).</w:t>
      </w:r>
    </w:p>
    <w:p w:rsidR="0011591E" w:rsidRPr="00DE6470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  <w:r>
        <w:rPr>
          <w:color w:val="262626"/>
          <w:spacing w:val="-6"/>
        </w:rPr>
        <w:t xml:space="preserve">  </w:t>
      </w:r>
      <w:r w:rsidR="0011591E" w:rsidRPr="00DE6470">
        <w:rPr>
          <w:color w:val="262626"/>
          <w:spacing w:val="-6"/>
        </w:rPr>
        <w:t>Согласно п. 59 Правил № 354 плата за коммунальную услугу, предоставленную потребителю в жилом помещении за расчетный период, определяется исходя из рассчитанного среднемесячного объема потребления коммунального ресурса:</w:t>
      </w:r>
    </w:p>
    <w:p w:rsidR="0011591E" w:rsidRPr="00DE6470" w:rsidRDefault="0011591E" w:rsidP="00DE6470">
      <w:pPr>
        <w:pStyle w:val="a3"/>
        <w:numPr>
          <w:ilvl w:val="1"/>
          <w:numId w:val="15"/>
        </w:numPr>
        <w:spacing w:before="0" w:beforeAutospacing="0" w:after="0" w:afterAutospacing="0" w:line="360" w:lineRule="auto"/>
        <w:jc w:val="both"/>
      </w:pPr>
      <w:r w:rsidRPr="00DE6470">
        <w:rPr>
          <w:color w:val="212529"/>
          <w:spacing w:val="-6"/>
        </w:rPr>
        <w:t>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 (не более 3 расчетных периодов подряд для жилого помещения и не более 2 расчетных периодов подряд для нежилого помещения)</w:t>
      </w:r>
      <w:r w:rsidR="00BE6BE4" w:rsidRPr="00DE6470">
        <w:rPr>
          <w:color w:val="212529"/>
          <w:spacing w:val="-6"/>
        </w:rPr>
        <w:t xml:space="preserve">, </w:t>
      </w:r>
      <w:r w:rsidRPr="00DE6470">
        <w:t xml:space="preserve">за исключением предусмотренных </w:t>
      </w:r>
      <w:hyperlink r:id="rId6" w:history="1">
        <w:r w:rsidRPr="00DE6470">
          <w:rPr>
            <w:rStyle w:val="a5"/>
          </w:rPr>
          <w:t>пунктом 80(1)</w:t>
        </w:r>
      </w:hyperlink>
      <w:r w:rsidRPr="00DE6470">
        <w:t xml:space="preserve"> Правил предоставления коммунальных услуг собственникам и пользов</w:t>
      </w:r>
      <w:r w:rsidR="008A360F">
        <w:t>а</w:t>
      </w:r>
      <w:r w:rsidRPr="00DE6470">
        <w:t>телям помещений в многоквартирных домах и жилых домов, утвержденных Постановлен</w:t>
      </w:r>
      <w:r w:rsidR="008A360F">
        <w:t>ие</w:t>
      </w:r>
      <w:r w:rsidRPr="00DE6470">
        <w:t>м правительства № 354 от 06.05.2011 г. случа</w:t>
      </w:r>
      <w:r w:rsidR="00AA2D6E" w:rsidRPr="00DE6470">
        <w:t>ев</w:t>
      </w:r>
      <w:r w:rsidRPr="00DE6470">
        <w:rPr>
          <w:color w:val="212529"/>
          <w:spacing w:val="-6"/>
        </w:rPr>
        <w:t>;</w:t>
      </w:r>
    </w:p>
    <w:p w:rsidR="0011591E" w:rsidRPr="00DE6470" w:rsidRDefault="0011591E" w:rsidP="00DE6470">
      <w:pPr>
        <w:pStyle w:val="a3"/>
        <w:shd w:val="clear" w:color="auto" w:fill="FFFFFF"/>
        <w:spacing w:before="0" w:beforeAutospacing="0" w:after="210" w:afterAutospacing="0" w:line="375" w:lineRule="atLeast"/>
        <w:ind w:left="900"/>
        <w:jc w:val="both"/>
        <w:rPr>
          <w:color w:val="262626"/>
          <w:spacing w:val="-6"/>
        </w:rPr>
      </w:pPr>
      <w:r w:rsidRPr="00DE6470">
        <w:rPr>
          <w:color w:val="262626"/>
          <w:spacing w:val="-6"/>
        </w:rPr>
        <w:t>При этом в соответствии с п. 81 (12) Правил № 354 прибор учета считается вышедшим из строя при:</w:t>
      </w:r>
    </w:p>
    <w:p w:rsidR="0011591E" w:rsidRPr="00DE6470" w:rsidRDefault="008A360F" w:rsidP="008A360F">
      <w:pPr>
        <w:shd w:val="clear" w:color="auto" w:fill="FFFFFF"/>
        <w:spacing w:after="105" w:line="345" w:lineRule="atLeast"/>
        <w:ind w:left="18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- </w:t>
      </w:r>
      <w:proofErr w:type="spellStart"/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неотображении</w:t>
      </w:r>
      <w:proofErr w:type="spellEnd"/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приборами учета результатов измерений;</w:t>
      </w:r>
    </w:p>
    <w:p w:rsidR="0011591E" w:rsidRPr="00DE6470" w:rsidRDefault="008A360F" w:rsidP="008A360F">
      <w:pPr>
        <w:shd w:val="clear" w:color="auto" w:fill="FFFFFF"/>
        <w:spacing w:after="105" w:line="345" w:lineRule="atLeast"/>
        <w:ind w:left="18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- </w:t>
      </w:r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нарушении контрольных пломб и (или) знаков поверки;</w:t>
      </w:r>
    </w:p>
    <w:p w:rsidR="0011591E" w:rsidRPr="00DE6470" w:rsidRDefault="008A360F" w:rsidP="008A360F">
      <w:pPr>
        <w:shd w:val="clear" w:color="auto" w:fill="FFFFFF"/>
        <w:spacing w:after="105" w:line="345" w:lineRule="atLeast"/>
        <w:ind w:left="18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- </w:t>
      </w:r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механическом повреждении прибора учета;</w:t>
      </w:r>
    </w:p>
    <w:p w:rsidR="0011591E" w:rsidRPr="00DE6470" w:rsidRDefault="008A360F" w:rsidP="008A360F">
      <w:pPr>
        <w:shd w:val="clear" w:color="auto" w:fill="FFFFFF"/>
        <w:spacing w:after="105" w:line="345" w:lineRule="atLeast"/>
        <w:ind w:left="18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- </w:t>
      </w:r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превышении допустимой погрешности показаний прибора учета;</w:t>
      </w:r>
    </w:p>
    <w:p w:rsidR="0011591E" w:rsidRPr="00DE6470" w:rsidRDefault="008A360F" w:rsidP="008A360F">
      <w:pPr>
        <w:shd w:val="clear" w:color="auto" w:fill="FFFFFF"/>
        <w:spacing w:after="105" w:line="345" w:lineRule="atLeast"/>
        <w:ind w:left="180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- </w:t>
      </w:r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истечении </w:t>
      </w:r>
      <w:proofErr w:type="spellStart"/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межповерочного</w:t>
      </w:r>
      <w:proofErr w:type="spellEnd"/>
      <w:r w:rsidR="0011591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 интервала поверки приборов учета.</w:t>
      </w:r>
    </w:p>
    <w:p w:rsidR="0011591E" w:rsidRPr="00DE6470" w:rsidRDefault="0011591E" w:rsidP="00DE6470">
      <w:pPr>
        <w:pStyle w:val="a4"/>
        <w:numPr>
          <w:ilvl w:val="1"/>
          <w:numId w:val="15"/>
        </w:numPr>
        <w:shd w:val="clear" w:color="auto" w:fill="FFFFFF"/>
        <w:spacing w:after="105" w:line="345" w:lineRule="atLeast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Правилами № 354, договором или решением общего собрания собственников помещений в многоквартирном доме (не более 3 расчетных периодов подряд)</w:t>
      </w:r>
      <w:r w:rsidR="00BE6BE4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,  </w:t>
      </w:r>
      <w:r w:rsidR="00BE6BE4" w:rsidRPr="00DE6470">
        <w:rPr>
          <w:rFonts w:ascii="Times New Roman" w:hAnsi="Times New Roman" w:cs="Times New Roman"/>
          <w:sz w:val="24"/>
          <w:szCs w:val="24"/>
        </w:rPr>
        <w:t xml:space="preserve">за исключением предусмотренных </w:t>
      </w:r>
      <w:hyperlink r:id="rId7" w:history="1">
        <w:r w:rsidR="00BE6BE4" w:rsidRPr="00DE6470">
          <w:rPr>
            <w:rStyle w:val="a5"/>
            <w:rFonts w:ascii="Times New Roman" w:hAnsi="Times New Roman" w:cs="Times New Roman"/>
            <w:sz w:val="24"/>
            <w:szCs w:val="24"/>
          </w:rPr>
          <w:t>пунктом 80(1)</w:t>
        </w:r>
      </w:hyperlink>
      <w:r w:rsidR="00BE6BE4" w:rsidRPr="00DE647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</w:t>
      </w:r>
      <w:r w:rsidR="00216E17">
        <w:rPr>
          <w:rFonts w:ascii="Times New Roman" w:hAnsi="Times New Roman" w:cs="Times New Roman"/>
          <w:sz w:val="24"/>
          <w:szCs w:val="24"/>
        </w:rPr>
        <w:t>а</w:t>
      </w:r>
      <w:r w:rsidR="00BE6BE4" w:rsidRPr="00DE6470">
        <w:rPr>
          <w:rFonts w:ascii="Times New Roman" w:hAnsi="Times New Roman" w:cs="Times New Roman"/>
          <w:sz w:val="24"/>
          <w:szCs w:val="24"/>
        </w:rPr>
        <w:t xml:space="preserve">телям </w:t>
      </w:r>
      <w:r w:rsidR="00BE6BE4" w:rsidRPr="00DE6470">
        <w:rPr>
          <w:rFonts w:ascii="Times New Roman" w:hAnsi="Times New Roman" w:cs="Times New Roman"/>
          <w:sz w:val="24"/>
          <w:szCs w:val="24"/>
        </w:rPr>
        <w:lastRenderedPageBreak/>
        <w:t>помещений в многоквартирных домах и жилых домов, утвержденных Постановлен</w:t>
      </w:r>
      <w:r w:rsidR="00216E17">
        <w:rPr>
          <w:rFonts w:ascii="Times New Roman" w:hAnsi="Times New Roman" w:cs="Times New Roman"/>
          <w:sz w:val="24"/>
          <w:szCs w:val="24"/>
        </w:rPr>
        <w:t>ие</w:t>
      </w:r>
      <w:r w:rsidR="00BE6BE4" w:rsidRPr="00DE6470">
        <w:rPr>
          <w:rFonts w:ascii="Times New Roman" w:hAnsi="Times New Roman" w:cs="Times New Roman"/>
          <w:sz w:val="24"/>
          <w:szCs w:val="24"/>
        </w:rPr>
        <w:t>м правительства № 354 от 06.05.2011 г. случа</w:t>
      </w:r>
      <w:r w:rsidR="00AA2D6E" w:rsidRPr="00DE6470">
        <w:rPr>
          <w:rFonts w:ascii="Times New Roman" w:hAnsi="Times New Roman" w:cs="Times New Roman"/>
          <w:sz w:val="24"/>
          <w:szCs w:val="24"/>
        </w:rPr>
        <w:t>ев</w:t>
      </w:r>
      <w:r w:rsidR="00BE6BE4" w:rsidRPr="00DE6470">
        <w:rPr>
          <w:rFonts w:ascii="Times New Roman" w:hAnsi="Times New Roman" w:cs="Times New Roman"/>
          <w:sz w:val="24"/>
          <w:szCs w:val="24"/>
        </w:rPr>
        <w:t>;</w:t>
      </w:r>
    </w:p>
    <w:p w:rsidR="0011591E" w:rsidRPr="00DE6470" w:rsidRDefault="0011591E" w:rsidP="00DE6470">
      <w:pPr>
        <w:pStyle w:val="a4"/>
        <w:shd w:val="clear" w:color="auto" w:fill="FFFFFF"/>
        <w:spacing w:after="105" w:line="345" w:lineRule="atLeast"/>
        <w:ind w:left="1440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</w:p>
    <w:p w:rsidR="0011591E" w:rsidRPr="00DE6470" w:rsidRDefault="0011591E" w:rsidP="00DE6470">
      <w:pPr>
        <w:pStyle w:val="a4"/>
        <w:numPr>
          <w:ilvl w:val="1"/>
          <w:numId w:val="15"/>
        </w:numPr>
        <w:shd w:val="clear" w:color="auto" w:fill="FFFFFF"/>
        <w:spacing w:after="105" w:line="345" w:lineRule="atLeast"/>
        <w:jc w:val="both"/>
        <w:rPr>
          <w:rFonts w:ascii="Times New Roman" w:hAnsi="Times New Roman" w:cs="Times New Roman"/>
          <w:color w:val="212529"/>
          <w:spacing w:val="-6"/>
          <w:sz w:val="24"/>
          <w:szCs w:val="24"/>
        </w:rPr>
      </w:pPr>
      <w:r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>если потребитель не обеспечил допуск в занимаемое жилое помещение для проведения проверки приборов учета (не более 3 расчетных периодов подряд)</w:t>
      </w:r>
      <w:r w:rsidR="00AA2D6E" w:rsidRPr="00DE6470">
        <w:rPr>
          <w:rFonts w:ascii="Times New Roman" w:hAnsi="Times New Roman" w:cs="Times New Roman"/>
          <w:color w:val="212529"/>
          <w:spacing w:val="-6"/>
          <w:sz w:val="24"/>
          <w:szCs w:val="24"/>
        </w:rPr>
        <w:t xml:space="preserve">, </w:t>
      </w:r>
      <w:r w:rsidR="00AA2D6E" w:rsidRPr="00DE6470">
        <w:rPr>
          <w:rFonts w:ascii="Times New Roman" w:hAnsi="Times New Roman" w:cs="Times New Roman"/>
          <w:sz w:val="24"/>
          <w:szCs w:val="24"/>
        </w:rPr>
        <w:t xml:space="preserve">за исключением предусмотренных </w:t>
      </w:r>
      <w:hyperlink r:id="rId8" w:history="1">
        <w:r w:rsidR="00AA2D6E" w:rsidRPr="00DE6470">
          <w:rPr>
            <w:rStyle w:val="a5"/>
            <w:rFonts w:ascii="Times New Roman" w:hAnsi="Times New Roman" w:cs="Times New Roman"/>
            <w:sz w:val="24"/>
            <w:szCs w:val="24"/>
          </w:rPr>
          <w:t>пунктом 80(1)</w:t>
        </w:r>
      </w:hyperlink>
      <w:r w:rsidR="00AA2D6E" w:rsidRPr="00DE647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</w:t>
      </w:r>
      <w:r w:rsidR="00216E17">
        <w:rPr>
          <w:rFonts w:ascii="Times New Roman" w:hAnsi="Times New Roman" w:cs="Times New Roman"/>
          <w:sz w:val="24"/>
          <w:szCs w:val="24"/>
        </w:rPr>
        <w:t>а</w:t>
      </w:r>
      <w:r w:rsidR="00AA2D6E" w:rsidRPr="00DE6470">
        <w:rPr>
          <w:rFonts w:ascii="Times New Roman" w:hAnsi="Times New Roman" w:cs="Times New Roman"/>
          <w:sz w:val="24"/>
          <w:szCs w:val="24"/>
        </w:rPr>
        <w:t>телям помещений в многоквартирных домах и жилых домов, утвержденных Постановлен</w:t>
      </w:r>
      <w:r w:rsidR="00216E17">
        <w:rPr>
          <w:rFonts w:ascii="Times New Roman" w:hAnsi="Times New Roman" w:cs="Times New Roman"/>
          <w:sz w:val="24"/>
          <w:szCs w:val="24"/>
        </w:rPr>
        <w:t>ие</w:t>
      </w:r>
      <w:r w:rsidR="00AA2D6E" w:rsidRPr="00DE6470">
        <w:rPr>
          <w:rFonts w:ascii="Times New Roman" w:hAnsi="Times New Roman" w:cs="Times New Roman"/>
          <w:sz w:val="24"/>
          <w:szCs w:val="24"/>
        </w:rPr>
        <w:t>м правительства № 354 от 06.05.2011 г. случаев.</w:t>
      </w:r>
      <w:bookmarkStart w:id="0" w:name="_GoBack"/>
      <w:bookmarkEnd w:id="0"/>
    </w:p>
    <w:p w:rsidR="0011591E" w:rsidRDefault="0011591E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  <w:r w:rsidRPr="00DE6470">
        <w:rPr>
          <w:color w:val="262626"/>
          <w:spacing w:val="-6"/>
        </w:rPr>
        <w:t>При этом согласно п. 60 Правил № 354 по истечении предельного количества расчетных периодов при наступлении случая, указанного в п. 2 настоящего информационного сообщения, расчет платы за коммунальную услугу, предоставленную в жилое помещение, осуществляется исходя из нормативов потребления коммунальных услуг, а при наступлении случаев, указанных в пунктах 1 и 3 - исходя из нормативов потребления коммунальных услуг с применением повышающего коэффициента, величина которого принимается равной 1,5.</w:t>
      </w: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p w:rsidR="008A360F" w:rsidRDefault="008A360F" w:rsidP="00DE6470">
      <w:pPr>
        <w:pStyle w:val="a3"/>
        <w:shd w:val="clear" w:color="auto" w:fill="FFFFFF"/>
        <w:spacing w:before="0" w:beforeAutospacing="0" w:after="210" w:afterAutospacing="0" w:line="375" w:lineRule="atLeast"/>
        <w:jc w:val="both"/>
        <w:rPr>
          <w:color w:val="262626"/>
          <w:spacing w:val="-6"/>
        </w:rPr>
      </w:pPr>
    </w:p>
    <w:sectPr w:rsidR="008A360F" w:rsidSect="008A6B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1142"/>
    <w:multiLevelType w:val="hybridMultilevel"/>
    <w:tmpl w:val="48B8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736"/>
    <w:multiLevelType w:val="multilevel"/>
    <w:tmpl w:val="35B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3225"/>
    <w:multiLevelType w:val="multilevel"/>
    <w:tmpl w:val="DFE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522AE"/>
    <w:multiLevelType w:val="multilevel"/>
    <w:tmpl w:val="6B80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B3A98"/>
    <w:multiLevelType w:val="hybridMultilevel"/>
    <w:tmpl w:val="E96C6208"/>
    <w:lvl w:ilvl="0" w:tplc="0FA23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CA6478"/>
    <w:multiLevelType w:val="multilevel"/>
    <w:tmpl w:val="51A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B645D"/>
    <w:multiLevelType w:val="multilevel"/>
    <w:tmpl w:val="28D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D7FEA"/>
    <w:multiLevelType w:val="multilevel"/>
    <w:tmpl w:val="311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50A6E"/>
    <w:multiLevelType w:val="multilevel"/>
    <w:tmpl w:val="80F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121E9"/>
    <w:multiLevelType w:val="multilevel"/>
    <w:tmpl w:val="337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0460F"/>
    <w:multiLevelType w:val="multilevel"/>
    <w:tmpl w:val="C68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B4728"/>
    <w:multiLevelType w:val="multilevel"/>
    <w:tmpl w:val="033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81384"/>
    <w:multiLevelType w:val="hybridMultilevel"/>
    <w:tmpl w:val="E96C6208"/>
    <w:lvl w:ilvl="0" w:tplc="0FA23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0C34900"/>
    <w:multiLevelType w:val="multilevel"/>
    <w:tmpl w:val="AEF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A69CD"/>
    <w:multiLevelType w:val="multilevel"/>
    <w:tmpl w:val="77B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864B6"/>
    <w:multiLevelType w:val="multilevel"/>
    <w:tmpl w:val="AE8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A474E"/>
    <w:multiLevelType w:val="multilevel"/>
    <w:tmpl w:val="7EB4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A7784"/>
    <w:multiLevelType w:val="multilevel"/>
    <w:tmpl w:val="996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52F9F"/>
    <w:multiLevelType w:val="hybridMultilevel"/>
    <w:tmpl w:val="472EFC9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C267E23"/>
    <w:multiLevelType w:val="multilevel"/>
    <w:tmpl w:val="A25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0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8B"/>
    <w:rsid w:val="00011BB6"/>
    <w:rsid w:val="000676FC"/>
    <w:rsid w:val="0007057B"/>
    <w:rsid w:val="000E54DD"/>
    <w:rsid w:val="00101018"/>
    <w:rsid w:val="00112713"/>
    <w:rsid w:val="0011591E"/>
    <w:rsid w:val="001B53A4"/>
    <w:rsid w:val="00216E17"/>
    <w:rsid w:val="00236470"/>
    <w:rsid w:val="002511B2"/>
    <w:rsid w:val="002760E5"/>
    <w:rsid w:val="003E17BA"/>
    <w:rsid w:val="00477EB1"/>
    <w:rsid w:val="004F3F1E"/>
    <w:rsid w:val="00823ED3"/>
    <w:rsid w:val="00832969"/>
    <w:rsid w:val="00850807"/>
    <w:rsid w:val="008A360F"/>
    <w:rsid w:val="008A6B6E"/>
    <w:rsid w:val="008D4C8D"/>
    <w:rsid w:val="00A80CC1"/>
    <w:rsid w:val="00AA2D6E"/>
    <w:rsid w:val="00AB24C2"/>
    <w:rsid w:val="00AF7308"/>
    <w:rsid w:val="00BE6BE4"/>
    <w:rsid w:val="00C355F1"/>
    <w:rsid w:val="00CA0881"/>
    <w:rsid w:val="00DD34A5"/>
    <w:rsid w:val="00DE498B"/>
    <w:rsid w:val="00DE6470"/>
    <w:rsid w:val="00E4281E"/>
    <w:rsid w:val="00E51F7B"/>
    <w:rsid w:val="00E6622B"/>
    <w:rsid w:val="00E72390"/>
    <w:rsid w:val="00E95BDC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B06"/>
  <w15:chartTrackingRefBased/>
  <w15:docId w15:val="{EADD0A2D-BC9A-4CED-92C6-F60E225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69"/>
  </w:style>
  <w:style w:type="paragraph" w:styleId="1">
    <w:name w:val="heading 1"/>
    <w:basedOn w:val="a"/>
    <w:next w:val="a"/>
    <w:link w:val="10"/>
    <w:qFormat/>
    <w:rsid w:val="00E428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AF73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F7308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styleId="a3">
    <w:name w:val="Normal (Web)"/>
    <w:basedOn w:val="a"/>
    <w:uiPriority w:val="99"/>
    <w:unhideWhenUsed/>
    <w:rsid w:val="0007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281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8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281E"/>
    <w:rPr>
      <w:color w:val="0563C1" w:themeColor="hyperlink"/>
      <w:u w:val="single"/>
    </w:rPr>
  </w:style>
  <w:style w:type="paragraph" w:customStyle="1" w:styleId="a6">
    <w:name w:val="Заголовок статьи"/>
    <w:basedOn w:val="a"/>
    <w:next w:val="a"/>
    <w:uiPriority w:val="99"/>
    <w:rsid w:val="00E428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94&amp;dst=101505&amp;field=134&amp;date=26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194&amp;dst=101505&amp;field=134&amp;date=26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3194&amp;dst=101505&amp;field=134&amp;date=26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5E68-2F42-41AB-A9E7-D895726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Циттель Лилия Федоровна</dc:creator>
  <cp:keywords/>
  <dc:description/>
  <cp:lastModifiedBy>Лилия lv. Выходцева</cp:lastModifiedBy>
  <cp:revision>4</cp:revision>
  <cp:lastPrinted>2024-02-27T01:20:00Z</cp:lastPrinted>
  <dcterms:created xsi:type="dcterms:W3CDTF">2024-02-26T07:22:00Z</dcterms:created>
  <dcterms:modified xsi:type="dcterms:W3CDTF">2024-02-27T01:32:00Z</dcterms:modified>
</cp:coreProperties>
</file>