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22328" w:rsidRPr="005D7F2B" w:rsidRDefault="00A43A42">
      <w:pPr>
        <w:ind w:right="-55" w:firstLine="567"/>
        <w:jc w:val="center"/>
        <w:rPr>
          <w:rFonts w:ascii="Times New Roman" w:hAnsi="Times New Roman" w:cs="Times New Roman"/>
          <w:b/>
        </w:rPr>
      </w:pPr>
      <w:r w:rsidRPr="005D7F2B">
        <w:rPr>
          <w:rFonts w:ascii="Times New Roman" w:hAnsi="Times New Roman" w:cs="Times New Roman"/>
          <w:b/>
        </w:rPr>
        <w:t>Порядок и сроки оплаты за потребленную электроэнергию (мощность)</w:t>
      </w:r>
    </w:p>
    <w:p w:rsidR="00B22328" w:rsidRPr="005D7F2B" w:rsidRDefault="00A43A42">
      <w:pPr>
        <w:ind w:right="-55" w:firstLine="567"/>
        <w:jc w:val="center"/>
        <w:rPr>
          <w:rFonts w:ascii="Times New Roman" w:hAnsi="Times New Roman" w:cs="Times New Roman"/>
          <w:b/>
        </w:rPr>
      </w:pPr>
      <w:r w:rsidRPr="005D7F2B">
        <w:rPr>
          <w:rFonts w:ascii="Times New Roman" w:hAnsi="Times New Roman" w:cs="Times New Roman"/>
          <w:b/>
        </w:rPr>
        <w:t xml:space="preserve"> юридическими лицами.</w:t>
      </w:r>
    </w:p>
    <w:p w:rsidR="00B22328" w:rsidRPr="005D7F2B" w:rsidRDefault="00A43A42">
      <w:pPr>
        <w:ind w:right="-55" w:firstLine="567"/>
        <w:jc w:val="both"/>
        <w:rPr>
          <w:rFonts w:ascii="Times New Roman" w:hAnsi="Times New Roman" w:cs="Times New Roman"/>
          <w:b/>
          <w:sz w:val="24"/>
          <w:szCs w:val="24"/>
        </w:rPr>
      </w:pPr>
      <w:r w:rsidRPr="005D7F2B">
        <w:rPr>
          <w:rFonts w:ascii="Times New Roman" w:hAnsi="Times New Roman" w:cs="Times New Roman"/>
          <w:color w:val="2C2C2C"/>
          <w:sz w:val="24"/>
          <w:szCs w:val="24"/>
          <w:shd w:val="clear" w:color="auto" w:fill="F9F9F9"/>
        </w:rPr>
        <w:t>Оплата электрической энергии (мощности) осуществляется в соответствии с положениями раздела IV «Основных положений функционировании розничных рынков электрической энергии», утвержденным постановлением Правительства Российской Федерации №442 от 04.05.2012 (пп.79, 81, 82, 83, 85).</w:t>
      </w:r>
    </w:p>
    <w:p w:rsidR="00B22328" w:rsidRPr="005D7F2B" w:rsidRDefault="005D7F2B">
      <w:pPr>
        <w:ind w:firstLine="708"/>
        <w:jc w:val="both"/>
        <w:rPr>
          <w:rFonts w:ascii="Times New Roman" w:hAnsi="Times New Roman" w:cs="Times New Roman"/>
          <w:sz w:val="24"/>
          <w:szCs w:val="24"/>
        </w:rPr>
      </w:pPr>
      <w:r w:rsidRPr="005D7F2B">
        <w:rPr>
          <w:rFonts w:ascii="Times New Roman" w:hAnsi="Times New Roman" w:cs="Times New Roman"/>
          <w:color w:val="2C2C2C"/>
          <w:sz w:val="24"/>
          <w:szCs w:val="24"/>
          <w:shd w:val="clear" w:color="auto" w:fill="F9F9F9"/>
        </w:rPr>
        <w:t>П</w:t>
      </w:r>
      <w:r w:rsidR="00A43A42" w:rsidRPr="005D7F2B">
        <w:rPr>
          <w:rFonts w:ascii="Times New Roman" w:hAnsi="Times New Roman" w:cs="Times New Roman"/>
          <w:color w:val="2C2C2C"/>
          <w:sz w:val="24"/>
          <w:szCs w:val="24"/>
          <w:shd w:val="clear" w:color="auto" w:fill="F9F9F9"/>
        </w:rPr>
        <w:t>отребители</w:t>
      </w:r>
      <w:r w:rsidR="00A43A42" w:rsidRPr="005D7F2B">
        <w:rPr>
          <w:rFonts w:ascii="Times New Roman" w:hAnsi="Times New Roman" w:cs="Times New Roman"/>
          <w:sz w:val="24"/>
          <w:szCs w:val="24"/>
        </w:rPr>
        <w:t xml:space="preserve"> (покупатели), приобретающие электрическую энергию у гарантирующего поставщика, оплачивают электрическую энергию (мощность) гарантирующему поставщику в следующем порядке, кроме случаев, когда более поздние сроки установлены соглашением с гарантирующим поставщиком:</w:t>
      </w:r>
    </w:p>
    <w:p w:rsidR="00B22328" w:rsidRPr="005D7F2B" w:rsidRDefault="005D7F2B" w:rsidP="005D7F2B">
      <w:pPr>
        <w:pStyle w:val="af6"/>
        <w:ind w:left="426"/>
        <w:jc w:val="both"/>
        <w:rPr>
          <w:rFonts w:ascii="Times New Roman" w:hAnsi="Times New Roman" w:cs="Times New Roman"/>
        </w:rPr>
      </w:pPr>
      <w:r w:rsidRPr="005D7F2B">
        <w:rPr>
          <w:rFonts w:ascii="Times New Roman" w:hAnsi="Times New Roman" w:cs="Times New Roman"/>
        </w:rPr>
        <w:t xml:space="preserve">- </w:t>
      </w:r>
      <w:r w:rsidR="00A43A42" w:rsidRPr="005D7F2B">
        <w:rPr>
          <w:rFonts w:ascii="Times New Roman" w:hAnsi="Times New Roman" w:cs="Times New Roman"/>
        </w:rP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B22328" w:rsidRPr="005D7F2B" w:rsidRDefault="005D7F2B" w:rsidP="005D7F2B">
      <w:pPr>
        <w:pStyle w:val="af6"/>
        <w:ind w:left="426"/>
        <w:jc w:val="both"/>
        <w:rPr>
          <w:rFonts w:ascii="Times New Roman" w:hAnsi="Times New Roman" w:cs="Times New Roman"/>
        </w:rPr>
      </w:pPr>
      <w:r w:rsidRPr="005D7F2B">
        <w:rPr>
          <w:rFonts w:ascii="Times New Roman" w:hAnsi="Times New Roman" w:cs="Times New Roman"/>
        </w:rPr>
        <w:t xml:space="preserve">- </w:t>
      </w:r>
      <w:r w:rsidR="00A43A42" w:rsidRPr="005D7F2B">
        <w:rPr>
          <w:rFonts w:ascii="Times New Roman" w:hAnsi="Times New Roman" w:cs="Times New Roman"/>
        </w:rP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B22328" w:rsidRPr="005D7F2B" w:rsidRDefault="00A43A42">
      <w:pPr>
        <w:ind w:firstLine="708"/>
        <w:jc w:val="both"/>
        <w:rPr>
          <w:rFonts w:ascii="Times New Roman" w:hAnsi="Times New Roman" w:cs="Times New Roman"/>
        </w:rPr>
      </w:pPr>
      <w:r w:rsidRPr="005D7F2B">
        <w:rPr>
          <w:rFonts w:ascii="Times New Roman" w:hAnsi="Times New Roman" w:cs="Times New Roman"/>
        </w:rPr>
        <w:t>стоимость объема покупки электрической энергии (мощности) в месяце, за который осуществляется оплата, за вычетом средств, внесенных потребителем (покупателем)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засчитывается в счет платежа за месяц, следующий за месяцем, в котором была осуществлена такая оплата.</w:t>
      </w:r>
    </w:p>
    <w:p w:rsidR="00B22328" w:rsidRPr="005D7F2B" w:rsidRDefault="00A43A42">
      <w:pPr>
        <w:ind w:firstLine="708"/>
        <w:jc w:val="both"/>
        <w:rPr>
          <w:rFonts w:ascii="Times New Roman" w:hAnsi="Times New Roman" w:cs="Times New Roman"/>
        </w:rPr>
      </w:pPr>
      <w:r w:rsidRPr="005D7F2B">
        <w:rPr>
          <w:rFonts w:ascii="Times New Roman" w:hAnsi="Times New Roman" w:cs="Times New Roman"/>
        </w:rPr>
        <w:t>В случае если договор энергоснабжения (купли-продажи (поставки) электрической энергии (мощности)) заключается гарантирующим поставщиком с энергосбытовой (энергоснабжающей) организацией, в нем предусматривается условие о предварительной оплате 50 процентов стоимости электрической энергии (мощности) в подлежащем оплате объеме покупки в месяце, за который осуществляется оплата, до 1-го числа этого месяца, если иное не установлено договором энергоснабжения (договором купли-продажи (поставки) электрической энергии (мощности)).</w:t>
      </w:r>
    </w:p>
    <w:p w:rsidR="00B22328" w:rsidRPr="005D7F2B" w:rsidRDefault="00A43A42">
      <w:pPr>
        <w:ind w:firstLine="708"/>
        <w:jc w:val="both"/>
        <w:rPr>
          <w:rFonts w:ascii="Times New Roman" w:hAnsi="Times New Roman" w:cs="Times New Roman"/>
        </w:rPr>
      </w:pPr>
      <w:r w:rsidRPr="005D7F2B">
        <w:rPr>
          <w:rFonts w:ascii="Times New Roman" w:hAnsi="Times New Roman" w:cs="Times New Roman"/>
        </w:rPr>
        <w:t>Соглашением между гарантирующим поставщиком и приобретающей у него электрическую энергию энергосбытовой (энергоснабжающей) организацией указанное условие может быть заменено полностью или частично условием о предоставлении гарантирующему поставщику обеспечения исполнения обязательств по оплате по договору.</w:t>
      </w:r>
    </w:p>
    <w:p w:rsidR="00B22328" w:rsidRPr="005D7F2B" w:rsidRDefault="00A43A42">
      <w:pPr>
        <w:ind w:firstLine="708"/>
        <w:jc w:val="both"/>
        <w:rPr>
          <w:rFonts w:ascii="Times New Roman" w:hAnsi="Times New Roman" w:cs="Times New Roman"/>
        </w:rPr>
      </w:pPr>
      <w:r w:rsidRPr="005D7F2B">
        <w:rPr>
          <w:rFonts w:ascii="Times New Roman" w:hAnsi="Times New Roman" w:cs="Times New Roman"/>
        </w:rPr>
        <w:t>Для определения размера платежей, которые должны быть произведены гарантирующему поставщику потребителем (покупателем)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 на территориях субъектов Российской Федерации, объединенных в ценовые зоны оптового рынка –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w:t>
      </w:r>
    </w:p>
    <w:p w:rsidR="00B22328" w:rsidRPr="005D7F2B" w:rsidRDefault="00A43A42">
      <w:pPr>
        <w:ind w:firstLine="708"/>
        <w:jc w:val="both"/>
        <w:rPr>
          <w:rFonts w:ascii="Times New Roman" w:hAnsi="Times New Roman" w:cs="Times New Roman"/>
        </w:rPr>
      </w:pPr>
      <w:r w:rsidRPr="005D7F2B">
        <w:rPr>
          <w:rFonts w:ascii="Times New Roman" w:hAnsi="Times New Roman" w:cs="Times New Roman"/>
        </w:rPr>
        <w:t>В случае выставления счета для оплаты электрической энергии (мощности) до определения цены на электрическую энергию (мощность) за предшествующий расчетный период для определения размера платежей используется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 при этом указанная цена должна быть проиндексирована в соответствии с изменением тарифа на услуги по передаче электрической энергии, если такое изменение имело место.</w:t>
      </w:r>
    </w:p>
    <w:p w:rsidR="00B22328" w:rsidRPr="005D7F2B" w:rsidRDefault="00A43A42">
      <w:pPr>
        <w:ind w:firstLine="708"/>
        <w:jc w:val="both"/>
        <w:rPr>
          <w:rFonts w:ascii="Times New Roman" w:hAnsi="Times New Roman" w:cs="Times New Roman"/>
        </w:rPr>
      </w:pPr>
      <w:r w:rsidRPr="005D7F2B">
        <w:rPr>
          <w:rFonts w:ascii="Times New Roman" w:hAnsi="Times New Roman" w:cs="Times New Roman"/>
        </w:rPr>
        <w:lastRenderedPageBreak/>
        <w:t>Подлежащий оплате объем покупки электрической энергии (мощности) принимается равным объему потребления электрической энергии (мощности) за предшествующий расчетный период.</w:t>
      </w:r>
    </w:p>
    <w:p w:rsidR="00B22328" w:rsidRPr="005D7F2B" w:rsidRDefault="00A43A42">
      <w:pPr>
        <w:ind w:firstLine="708"/>
        <w:jc w:val="both"/>
        <w:rPr>
          <w:rFonts w:ascii="Times New Roman" w:hAnsi="Times New Roman" w:cs="Times New Roman"/>
        </w:rPr>
      </w:pPr>
      <w:bookmarkStart w:id="0" w:name="_GoBack"/>
      <w:r w:rsidRPr="005D7F2B">
        <w:rPr>
          <w:rFonts w:ascii="Times New Roman" w:hAnsi="Times New Roman" w:cs="Times New Roman"/>
        </w:rPr>
        <w:t>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потребителя, определяемой в соответствии с Правилами недискриминационного доступа к услугам по передаче электрической энергии и оказания этих услуг, и коэффициента оплаты мощности, равного 0,002824.</w:t>
      </w:r>
    </w:p>
    <w:bookmarkEnd w:id="0"/>
    <w:p w:rsidR="00B22328" w:rsidRPr="005D7F2B" w:rsidRDefault="00A43A42">
      <w:pPr>
        <w:ind w:firstLine="708"/>
        <w:jc w:val="both"/>
        <w:rPr>
          <w:rFonts w:ascii="Times New Roman" w:hAnsi="Times New Roman" w:cs="Times New Roman"/>
        </w:rPr>
      </w:pPr>
      <w:r w:rsidRPr="005D7F2B">
        <w:rPr>
          <w:rFonts w:ascii="Times New Roman" w:hAnsi="Times New Roman" w:cs="Times New Roman"/>
        </w:rPr>
        <w:t>Расчеты между гарантирующим поставщиком и потребителем (покупателем) при получении гарантирующим поставщиком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или уменьшить объемы электрической энергии (мощности), приобретаемые у гарантирующего поставщика (далее - уведомление о расторжении или изменении договора), осуществляются на основании счета, который гарантирующий поставщик в течение 5 рабочих дней со дня получения указанного уведомления обязан направить потребителю (покупателю). Указанный счет включает в себя:</w:t>
      </w:r>
    </w:p>
    <w:p w:rsidR="00B22328" w:rsidRPr="005D7F2B" w:rsidRDefault="005D7F2B" w:rsidP="005D7F2B">
      <w:pPr>
        <w:ind w:left="426"/>
        <w:jc w:val="both"/>
        <w:rPr>
          <w:rFonts w:ascii="Times New Roman" w:hAnsi="Times New Roman" w:cs="Times New Roman"/>
        </w:rPr>
      </w:pPr>
      <w:r w:rsidRPr="005D7F2B">
        <w:rPr>
          <w:rFonts w:ascii="Times New Roman" w:hAnsi="Times New Roman" w:cs="Times New Roman"/>
        </w:rPr>
        <w:t xml:space="preserve">- </w:t>
      </w:r>
      <w:r w:rsidR="00A43A42" w:rsidRPr="005D7F2B">
        <w:rPr>
          <w:rFonts w:ascii="Times New Roman" w:hAnsi="Times New Roman" w:cs="Times New Roman"/>
        </w:rPr>
        <w:t>сумму задолженности потребителя (покупателя) по договору, о расторжении или изменении которого указано в уведомлении потребителя (покупателя), на дату получения уведомления (при ее наличии);</w:t>
      </w:r>
    </w:p>
    <w:p w:rsidR="00B22328" w:rsidRPr="005D7F2B" w:rsidRDefault="005D7F2B" w:rsidP="005D7F2B">
      <w:pPr>
        <w:ind w:left="426"/>
        <w:jc w:val="both"/>
        <w:rPr>
          <w:rFonts w:ascii="Times New Roman" w:hAnsi="Times New Roman" w:cs="Times New Roman"/>
        </w:rPr>
      </w:pPr>
      <w:r w:rsidRPr="005D7F2B">
        <w:rPr>
          <w:rFonts w:ascii="Times New Roman" w:hAnsi="Times New Roman" w:cs="Times New Roman"/>
        </w:rPr>
        <w:t xml:space="preserve">- </w:t>
      </w:r>
      <w:r w:rsidR="00A43A42" w:rsidRPr="005D7F2B">
        <w:rPr>
          <w:rFonts w:ascii="Times New Roman" w:hAnsi="Times New Roman" w:cs="Times New Roman"/>
        </w:rPr>
        <w:t>стоимость электрической энергии (мощности), рассчитанную исходя из объема, который прогнозируется к потреблению по договору до заявляемой потребителем (покупателем) в уведомлении даты его расторжения или изменения, и нерегулируемой цены на электрическую энергию (мощность) за предшествующий расчетный период. Используемый при расчете стоимости электрической энергии (мощности) объем в случае расторжения договора определяется исходя из среднесуточного объема потребления электрической энергии (мощности) за предыдущий расчетный период, а в случае изменения договора - исходя из объемов, на которые будет уменьшена покупка электрической энергии (мощности) у гарантирующего поставщика, указанных в представленной потребителем (покупателем) гарантирующему поставщику выписке из договора, обеспечивающего продажу электрической энергии (мощности).</w:t>
      </w:r>
    </w:p>
    <w:p w:rsidR="00B22328" w:rsidRPr="005D7F2B" w:rsidRDefault="00A43A42">
      <w:pPr>
        <w:ind w:firstLine="708"/>
        <w:jc w:val="both"/>
        <w:rPr>
          <w:rFonts w:ascii="Times New Roman" w:hAnsi="Times New Roman" w:cs="Times New Roman"/>
        </w:rPr>
      </w:pPr>
      <w:r w:rsidRPr="005D7F2B">
        <w:rPr>
          <w:rFonts w:ascii="Times New Roman" w:hAnsi="Times New Roman" w:cs="Times New Roman"/>
        </w:rPr>
        <w:t>При получении гарантирующим поставщиком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(далее - уведомление о расторжении договора), эта организация в течение 5 рабочих дней со дня получения такого уведомления, если меньший срок не установлен соглашением сторон, обязана передать потребителю (покупателю) счет.</w:t>
      </w:r>
    </w:p>
    <w:p w:rsidR="00B22328" w:rsidRPr="005D7F2B" w:rsidRDefault="00A43A42">
      <w:pPr>
        <w:ind w:firstLine="708"/>
        <w:jc w:val="both"/>
        <w:rPr>
          <w:rFonts w:ascii="Times New Roman" w:hAnsi="Times New Roman" w:cs="Times New Roman"/>
        </w:rPr>
      </w:pPr>
      <w:r w:rsidRPr="005D7F2B">
        <w:rPr>
          <w:rFonts w:ascii="Times New Roman" w:hAnsi="Times New Roman" w:cs="Times New Roman"/>
        </w:rPr>
        <w:t>Выставленный гарантирующим поставщиком (энергосбытовой, энергоснабжающей организацией) в соответствии с настоящим пунктом счет должен быть оплачен потребителем (покупателем) не позднее чем за 10 рабочих дней до заявленной им даты расторжения или изменения договора.</w:t>
      </w:r>
    </w:p>
    <w:p w:rsidR="00B22328" w:rsidRPr="005D7F2B" w:rsidRDefault="00A43A42">
      <w:pPr>
        <w:ind w:firstLine="708"/>
        <w:jc w:val="both"/>
        <w:rPr>
          <w:rFonts w:ascii="Times New Roman" w:hAnsi="Times New Roman" w:cs="Times New Roman"/>
        </w:rPr>
      </w:pPr>
      <w:r w:rsidRPr="005D7F2B">
        <w:rPr>
          <w:rFonts w:ascii="Times New Roman" w:hAnsi="Times New Roman" w:cs="Times New Roman"/>
        </w:rPr>
        <w:t>При наличии сумм, излишне внесенных потребителем (покупателем) в счет оплаты электрической энергии (мощности), гарантирующий поставщик направляет потребителю (покупателю) соответствующее извещение в течение 5 рабочих дней со дня получения уведомления о расторжении или изменении договора от потребителя (покупателя).</w:t>
      </w:r>
    </w:p>
    <w:p w:rsidR="00B22328" w:rsidRPr="005D7F2B" w:rsidRDefault="00A43A42">
      <w:pPr>
        <w:ind w:firstLine="708"/>
        <w:jc w:val="both"/>
        <w:rPr>
          <w:rFonts w:ascii="Times New Roman" w:hAnsi="Times New Roman" w:cs="Times New Roman"/>
        </w:rPr>
      </w:pPr>
      <w:r w:rsidRPr="005D7F2B">
        <w:rPr>
          <w:rFonts w:ascii="Times New Roman" w:hAnsi="Times New Roman" w:cs="Times New Roman"/>
        </w:rPr>
        <w:t>Для осуществления окончательных расчетов за электрическую энергию (мощность) потребитель (покупатель) обязан обеспечить предоставление гарантирующему поставщику показаний приборов учета, используемых для расчетов по договору, на дату расторжения или изменения договора.</w:t>
      </w:r>
    </w:p>
    <w:p w:rsidR="00B22328" w:rsidRPr="005D7F2B" w:rsidRDefault="00A43A42">
      <w:pPr>
        <w:ind w:firstLine="708"/>
        <w:jc w:val="both"/>
        <w:rPr>
          <w:rFonts w:ascii="Times New Roman" w:hAnsi="Times New Roman" w:cs="Times New Roman"/>
        </w:rPr>
      </w:pPr>
      <w:r w:rsidRPr="005D7F2B">
        <w:rPr>
          <w:rFonts w:ascii="Times New Roman" w:hAnsi="Times New Roman" w:cs="Times New Roman"/>
        </w:rPr>
        <w:lastRenderedPageBreak/>
        <w:t>Окончательные расчеты за электрическую энергию (мощность) должны быть произведены сторонами договора в сроки, предусмотренные настоящим документом, после определения за соответствующий расчетный период предельных уровней нерегулируемых цен.</w:t>
      </w:r>
    </w:p>
    <w:p w:rsidR="005D7F2B" w:rsidRPr="005D7F2B" w:rsidRDefault="005D7F2B" w:rsidP="005D7F2B">
      <w:pPr>
        <w:spacing w:after="0" w:line="288" w:lineRule="atLeast"/>
        <w:ind w:firstLine="540"/>
        <w:jc w:val="both"/>
        <w:rPr>
          <w:rFonts w:ascii="Times New Roman" w:eastAsia="Times New Roman" w:hAnsi="Times New Roman" w:cs="Times New Roman"/>
          <w:sz w:val="24"/>
          <w:szCs w:val="24"/>
          <w:lang w:eastAsia="ru-RU"/>
        </w:rPr>
      </w:pPr>
      <w:r w:rsidRPr="005D7F2B">
        <w:rPr>
          <w:rFonts w:ascii="Times New Roman" w:eastAsia="Times New Roman" w:hAnsi="Times New Roman" w:cs="Times New Roman"/>
          <w:sz w:val="24"/>
          <w:szCs w:val="24"/>
          <w:lang w:eastAsia="ru-RU"/>
        </w:rPr>
        <w:t>Исполнители коммунальной услуги обязаны вносить в адрес гарантирующего поставщика оплату стоимости поставленной за расчетный период электрической энергии (мощности) до 15-го числа месяца, следующего за расчетным периодом, если соглашением с гарантирующим поставщиком не предусмотрен более поздний срок оплаты.</w:t>
      </w:r>
    </w:p>
    <w:p w:rsidR="005D7F2B" w:rsidRPr="005D7F2B" w:rsidRDefault="005D7F2B" w:rsidP="005D7F2B">
      <w:pPr>
        <w:spacing w:before="168" w:after="0" w:line="288" w:lineRule="atLeast"/>
        <w:ind w:firstLine="540"/>
        <w:jc w:val="both"/>
        <w:rPr>
          <w:rFonts w:ascii="Times New Roman" w:eastAsia="Times New Roman" w:hAnsi="Times New Roman" w:cs="Times New Roman"/>
          <w:sz w:val="24"/>
          <w:szCs w:val="24"/>
          <w:lang w:eastAsia="ru-RU"/>
        </w:rPr>
      </w:pPr>
      <w:r w:rsidRPr="005D7F2B">
        <w:rPr>
          <w:rFonts w:ascii="Times New Roman" w:eastAsia="Times New Roman" w:hAnsi="Times New Roman" w:cs="Times New Roman"/>
          <w:sz w:val="24"/>
          <w:szCs w:val="24"/>
          <w:lang w:eastAsia="ru-RU"/>
        </w:rPr>
        <w:t xml:space="preserve">Покупатели, приобретающие электрическую энергию для ее поставки населению, обязаны оплачивать стоимость электрической энергии (мощности) в объеме потребления населения за расчетный период до 15-го числа месяца, следующего за расчетным периодом. </w:t>
      </w:r>
    </w:p>
    <w:p w:rsidR="005D7F2B" w:rsidRPr="005D7F2B" w:rsidRDefault="005D7F2B">
      <w:pPr>
        <w:ind w:firstLine="708"/>
        <w:jc w:val="both"/>
        <w:rPr>
          <w:rFonts w:ascii="Times New Roman" w:hAnsi="Times New Roman" w:cs="Times New Roman"/>
        </w:rPr>
      </w:pPr>
    </w:p>
    <w:p w:rsidR="00B22328" w:rsidRPr="005D7F2B" w:rsidRDefault="00B22328">
      <w:pPr>
        <w:ind w:firstLine="708"/>
        <w:jc w:val="both"/>
        <w:rPr>
          <w:rFonts w:ascii="Times New Roman" w:hAnsi="Times New Roman" w:cs="Times New Roman"/>
        </w:rPr>
      </w:pPr>
    </w:p>
    <w:sectPr w:rsidR="00B22328" w:rsidRPr="005D7F2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A61FA" w:rsidRDefault="007A61FA">
      <w:pPr>
        <w:spacing w:after="0" w:line="240" w:lineRule="auto"/>
      </w:pPr>
      <w:r>
        <w:separator/>
      </w:r>
    </w:p>
  </w:endnote>
  <w:endnote w:type="continuationSeparator" w:id="0">
    <w:p w:rsidR="007A61FA" w:rsidRDefault="007A6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A61FA" w:rsidRDefault="007A61FA">
      <w:pPr>
        <w:spacing w:after="0" w:line="240" w:lineRule="auto"/>
      </w:pPr>
      <w:r>
        <w:separator/>
      </w:r>
    </w:p>
  </w:footnote>
  <w:footnote w:type="continuationSeparator" w:id="0">
    <w:p w:rsidR="007A61FA" w:rsidRDefault="007A61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B5A40"/>
    <w:multiLevelType w:val="hybridMultilevel"/>
    <w:tmpl w:val="49D86F6C"/>
    <w:lvl w:ilvl="0" w:tplc="E1D66BC6">
      <w:start w:val="1"/>
      <w:numFmt w:val="bullet"/>
      <w:lvlText w:val=""/>
      <w:lvlJc w:val="left"/>
      <w:pPr>
        <w:tabs>
          <w:tab w:val="num" w:pos="720"/>
        </w:tabs>
        <w:ind w:left="720" w:hanging="360"/>
      </w:pPr>
      <w:rPr>
        <w:rFonts w:ascii="Wingdings" w:hAnsi="Wingdings" w:hint="default"/>
        <w:sz w:val="20"/>
      </w:rPr>
    </w:lvl>
    <w:lvl w:ilvl="1" w:tplc="EC028E0E">
      <w:start w:val="1"/>
      <w:numFmt w:val="bullet"/>
      <w:lvlText w:val="o"/>
      <w:lvlJc w:val="left"/>
      <w:pPr>
        <w:tabs>
          <w:tab w:val="num" w:pos="1440"/>
        </w:tabs>
        <w:ind w:left="1440" w:hanging="360"/>
      </w:pPr>
      <w:rPr>
        <w:rFonts w:ascii="Courier New" w:hAnsi="Courier New" w:hint="default"/>
        <w:sz w:val="20"/>
      </w:rPr>
    </w:lvl>
    <w:lvl w:ilvl="2" w:tplc="158CEB6E">
      <w:start w:val="1"/>
      <w:numFmt w:val="bullet"/>
      <w:lvlText w:val=""/>
      <w:lvlJc w:val="left"/>
      <w:pPr>
        <w:tabs>
          <w:tab w:val="num" w:pos="2160"/>
        </w:tabs>
        <w:ind w:left="2160" w:hanging="360"/>
      </w:pPr>
      <w:rPr>
        <w:rFonts w:ascii="Wingdings" w:hAnsi="Wingdings" w:hint="default"/>
        <w:sz w:val="20"/>
      </w:rPr>
    </w:lvl>
    <w:lvl w:ilvl="3" w:tplc="67AA44AA">
      <w:start w:val="1"/>
      <w:numFmt w:val="bullet"/>
      <w:lvlText w:val=""/>
      <w:lvlJc w:val="left"/>
      <w:pPr>
        <w:tabs>
          <w:tab w:val="num" w:pos="2880"/>
        </w:tabs>
        <w:ind w:left="2880" w:hanging="360"/>
      </w:pPr>
      <w:rPr>
        <w:rFonts w:ascii="Wingdings" w:hAnsi="Wingdings" w:hint="default"/>
        <w:sz w:val="20"/>
      </w:rPr>
    </w:lvl>
    <w:lvl w:ilvl="4" w:tplc="9E849D00">
      <w:start w:val="1"/>
      <w:numFmt w:val="bullet"/>
      <w:lvlText w:val=""/>
      <w:lvlJc w:val="left"/>
      <w:pPr>
        <w:tabs>
          <w:tab w:val="num" w:pos="3600"/>
        </w:tabs>
        <w:ind w:left="3600" w:hanging="360"/>
      </w:pPr>
      <w:rPr>
        <w:rFonts w:ascii="Wingdings" w:hAnsi="Wingdings" w:hint="default"/>
        <w:sz w:val="20"/>
      </w:rPr>
    </w:lvl>
    <w:lvl w:ilvl="5" w:tplc="AD1A5CC2">
      <w:start w:val="1"/>
      <w:numFmt w:val="bullet"/>
      <w:lvlText w:val=""/>
      <w:lvlJc w:val="left"/>
      <w:pPr>
        <w:tabs>
          <w:tab w:val="num" w:pos="4320"/>
        </w:tabs>
        <w:ind w:left="4320" w:hanging="360"/>
      </w:pPr>
      <w:rPr>
        <w:rFonts w:ascii="Wingdings" w:hAnsi="Wingdings" w:hint="default"/>
        <w:sz w:val="20"/>
      </w:rPr>
    </w:lvl>
    <w:lvl w:ilvl="6" w:tplc="F80A5756">
      <w:start w:val="1"/>
      <w:numFmt w:val="bullet"/>
      <w:lvlText w:val=""/>
      <w:lvlJc w:val="left"/>
      <w:pPr>
        <w:tabs>
          <w:tab w:val="num" w:pos="5040"/>
        </w:tabs>
        <w:ind w:left="5040" w:hanging="360"/>
      </w:pPr>
      <w:rPr>
        <w:rFonts w:ascii="Wingdings" w:hAnsi="Wingdings" w:hint="default"/>
        <w:sz w:val="20"/>
      </w:rPr>
    </w:lvl>
    <w:lvl w:ilvl="7" w:tplc="FB22F584">
      <w:start w:val="1"/>
      <w:numFmt w:val="bullet"/>
      <w:lvlText w:val=""/>
      <w:lvlJc w:val="left"/>
      <w:pPr>
        <w:tabs>
          <w:tab w:val="num" w:pos="5760"/>
        </w:tabs>
        <w:ind w:left="5760" w:hanging="360"/>
      </w:pPr>
      <w:rPr>
        <w:rFonts w:ascii="Wingdings" w:hAnsi="Wingdings" w:hint="default"/>
        <w:sz w:val="20"/>
      </w:rPr>
    </w:lvl>
    <w:lvl w:ilvl="8" w:tplc="7F0A39A6">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31411"/>
    <w:multiLevelType w:val="hybridMultilevel"/>
    <w:tmpl w:val="20A49844"/>
    <w:lvl w:ilvl="0" w:tplc="E2F204C8">
      <w:start w:val="1"/>
      <w:numFmt w:val="bullet"/>
      <w:lvlText w:val=""/>
      <w:lvlJc w:val="left"/>
      <w:pPr>
        <w:tabs>
          <w:tab w:val="num" w:pos="720"/>
        </w:tabs>
        <w:ind w:left="720" w:hanging="360"/>
      </w:pPr>
      <w:rPr>
        <w:rFonts w:ascii="Symbol" w:hAnsi="Symbol" w:hint="default"/>
        <w:sz w:val="20"/>
      </w:rPr>
    </w:lvl>
    <w:lvl w:ilvl="1" w:tplc="A820416C">
      <w:start w:val="1"/>
      <w:numFmt w:val="bullet"/>
      <w:lvlText w:val="o"/>
      <w:lvlJc w:val="left"/>
      <w:pPr>
        <w:tabs>
          <w:tab w:val="num" w:pos="1440"/>
        </w:tabs>
        <w:ind w:left="1440" w:hanging="360"/>
      </w:pPr>
      <w:rPr>
        <w:rFonts w:ascii="Courier New" w:hAnsi="Courier New" w:hint="default"/>
        <w:sz w:val="20"/>
      </w:rPr>
    </w:lvl>
    <w:lvl w:ilvl="2" w:tplc="1D467DD2">
      <w:start w:val="1"/>
      <w:numFmt w:val="bullet"/>
      <w:lvlText w:val=""/>
      <w:lvlJc w:val="left"/>
      <w:pPr>
        <w:tabs>
          <w:tab w:val="num" w:pos="2160"/>
        </w:tabs>
        <w:ind w:left="2160" w:hanging="360"/>
      </w:pPr>
      <w:rPr>
        <w:rFonts w:ascii="Wingdings" w:hAnsi="Wingdings" w:hint="default"/>
        <w:sz w:val="20"/>
      </w:rPr>
    </w:lvl>
    <w:lvl w:ilvl="3" w:tplc="66F668D0">
      <w:start w:val="1"/>
      <w:numFmt w:val="bullet"/>
      <w:lvlText w:val=""/>
      <w:lvlJc w:val="left"/>
      <w:pPr>
        <w:tabs>
          <w:tab w:val="num" w:pos="2880"/>
        </w:tabs>
        <w:ind w:left="2880" w:hanging="360"/>
      </w:pPr>
      <w:rPr>
        <w:rFonts w:ascii="Wingdings" w:hAnsi="Wingdings" w:hint="default"/>
        <w:sz w:val="20"/>
      </w:rPr>
    </w:lvl>
    <w:lvl w:ilvl="4" w:tplc="59464244">
      <w:start w:val="1"/>
      <w:numFmt w:val="bullet"/>
      <w:lvlText w:val=""/>
      <w:lvlJc w:val="left"/>
      <w:pPr>
        <w:tabs>
          <w:tab w:val="num" w:pos="3600"/>
        </w:tabs>
        <w:ind w:left="3600" w:hanging="360"/>
      </w:pPr>
      <w:rPr>
        <w:rFonts w:ascii="Wingdings" w:hAnsi="Wingdings" w:hint="default"/>
        <w:sz w:val="20"/>
      </w:rPr>
    </w:lvl>
    <w:lvl w:ilvl="5" w:tplc="9850B88C">
      <w:start w:val="1"/>
      <w:numFmt w:val="bullet"/>
      <w:lvlText w:val=""/>
      <w:lvlJc w:val="left"/>
      <w:pPr>
        <w:tabs>
          <w:tab w:val="num" w:pos="4320"/>
        </w:tabs>
        <w:ind w:left="4320" w:hanging="360"/>
      </w:pPr>
      <w:rPr>
        <w:rFonts w:ascii="Wingdings" w:hAnsi="Wingdings" w:hint="default"/>
        <w:sz w:val="20"/>
      </w:rPr>
    </w:lvl>
    <w:lvl w:ilvl="6" w:tplc="59885184">
      <w:start w:val="1"/>
      <w:numFmt w:val="bullet"/>
      <w:lvlText w:val=""/>
      <w:lvlJc w:val="left"/>
      <w:pPr>
        <w:tabs>
          <w:tab w:val="num" w:pos="5040"/>
        </w:tabs>
        <w:ind w:left="5040" w:hanging="360"/>
      </w:pPr>
      <w:rPr>
        <w:rFonts w:ascii="Wingdings" w:hAnsi="Wingdings" w:hint="default"/>
        <w:sz w:val="20"/>
      </w:rPr>
    </w:lvl>
    <w:lvl w:ilvl="7" w:tplc="CCEE5DCE">
      <w:start w:val="1"/>
      <w:numFmt w:val="bullet"/>
      <w:lvlText w:val=""/>
      <w:lvlJc w:val="left"/>
      <w:pPr>
        <w:tabs>
          <w:tab w:val="num" w:pos="5760"/>
        </w:tabs>
        <w:ind w:left="5760" w:hanging="360"/>
      </w:pPr>
      <w:rPr>
        <w:rFonts w:ascii="Wingdings" w:hAnsi="Wingdings" w:hint="default"/>
        <w:sz w:val="20"/>
      </w:rPr>
    </w:lvl>
    <w:lvl w:ilvl="8" w:tplc="2D08DE60">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950632"/>
    <w:multiLevelType w:val="hybridMultilevel"/>
    <w:tmpl w:val="D0B09128"/>
    <w:lvl w:ilvl="0" w:tplc="146A642E">
      <w:start w:val="1"/>
      <w:numFmt w:val="decimal"/>
      <w:lvlText w:val="%1."/>
      <w:lvlJc w:val="left"/>
      <w:pPr>
        <w:ind w:left="786" w:hanging="360"/>
      </w:pPr>
      <w:rPr>
        <w:rFonts w:hint="default"/>
      </w:rPr>
    </w:lvl>
    <w:lvl w:ilvl="1" w:tplc="AFDC1A04">
      <w:start w:val="1"/>
      <w:numFmt w:val="lowerLetter"/>
      <w:lvlText w:val="%2."/>
      <w:lvlJc w:val="left"/>
      <w:pPr>
        <w:ind w:left="1506" w:hanging="360"/>
      </w:pPr>
    </w:lvl>
    <w:lvl w:ilvl="2" w:tplc="95DA5AD0">
      <w:start w:val="1"/>
      <w:numFmt w:val="lowerRoman"/>
      <w:lvlText w:val="%3."/>
      <w:lvlJc w:val="right"/>
      <w:pPr>
        <w:ind w:left="2226" w:hanging="180"/>
      </w:pPr>
    </w:lvl>
    <w:lvl w:ilvl="3" w:tplc="60ECDB3C">
      <w:start w:val="1"/>
      <w:numFmt w:val="decimal"/>
      <w:lvlText w:val="%4."/>
      <w:lvlJc w:val="left"/>
      <w:pPr>
        <w:ind w:left="2946" w:hanging="360"/>
      </w:pPr>
    </w:lvl>
    <w:lvl w:ilvl="4" w:tplc="395AC006">
      <w:start w:val="1"/>
      <w:numFmt w:val="lowerLetter"/>
      <w:lvlText w:val="%5."/>
      <w:lvlJc w:val="left"/>
      <w:pPr>
        <w:ind w:left="3666" w:hanging="360"/>
      </w:pPr>
    </w:lvl>
    <w:lvl w:ilvl="5" w:tplc="4C722E70">
      <w:start w:val="1"/>
      <w:numFmt w:val="lowerRoman"/>
      <w:lvlText w:val="%6."/>
      <w:lvlJc w:val="right"/>
      <w:pPr>
        <w:ind w:left="4386" w:hanging="180"/>
      </w:pPr>
    </w:lvl>
    <w:lvl w:ilvl="6" w:tplc="03A06DE2">
      <w:start w:val="1"/>
      <w:numFmt w:val="decimal"/>
      <w:lvlText w:val="%7."/>
      <w:lvlJc w:val="left"/>
      <w:pPr>
        <w:ind w:left="5106" w:hanging="360"/>
      </w:pPr>
    </w:lvl>
    <w:lvl w:ilvl="7" w:tplc="DB305E60">
      <w:start w:val="1"/>
      <w:numFmt w:val="lowerLetter"/>
      <w:lvlText w:val="%8."/>
      <w:lvlJc w:val="left"/>
      <w:pPr>
        <w:ind w:left="5826" w:hanging="360"/>
      </w:pPr>
    </w:lvl>
    <w:lvl w:ilvl="8" w:tplc="FB128582">
      <w:start w:val="1"/>
      <w:numFmt w:val="lowerRoman"/>
      <w:lvlText w:val="%9."/>
      <w:lvlJc w:val="right"/>
      <w:pPr>
        <w:ind w:left="6546" w:hanging="180"/>
      </w:pPr>
    </w:lvl>
  </w:abstractNum>
  <w:abstractNum w:abstractNumId="3" w15:restartNumberingAfterBreak="0">
    <w:nsid w:val="29945102"/>
    <w:multiLevelType w:val="hybridMultilevel"/>
    <w:tmpl w:val="0824BC32"/>
    <w:lvl w:ilvl="0" w:tplc="531CD706">
      <w:start w:val="1"/>
      <w:numFmt w:val="bullet"/>
      <w:lvlText w:val=""/>
      <w:lvlJc w:val="left"/>
      <w:pPr>
        <w:tabs>
          <w:tab w:val="num" w:pos="720"/>
        </w:tabs>
        <w:ind w:left="720" w:hanging="360"/>
      </w:pPr>
      <w:rPr>
        <w:rFonts w:ascii="Symbol" w:hAnsi="Symbol" w:hint="default"/>
        <w:sz w:val="20"/>
      </w:rPr>
    </w:lvl>
    <w:lvl w:ilvl="1" w:tplc="B7584F9E">
      <w:start w:val="1"/>
      <w:numFmt w:val="bullet"/>
      <w:lvlText w:val="o"/>
      <w:lvlJc w:val="left"/>
      <w:pPr>
        <w:tabs>
          <w:tab w:val="num" w:pos="1440"/>
        </w:tabs>
        <w:ind w:left="1440" w:hanging="360"/>
      </w:pPr>
      <w:rPr>
        <w:rFonts w:ascii="Courier New" w:hAnsi="Courier New" w:hint="default"/>
        <w:sz w:val="20"/>
      </w:rPr>
    </w:lvl>
    <w:lvl w:ilvl="2" w:tplc="BBC4CC78">
      <w:start w:val="1"/>
      <w:numFmt w:val="bullet"/>
      <w:lvlText w:val=""/>
      <w:lvlJc w:val="left"/>
      <w:pPr>
        <w:tabs>
          <w:tab w:val="num" w:pos="2160"/>
        </w:tabs>
        <w:ind w:left="2160" w:hanging="360"/>
      </w:pPr>
      <w:rPr>
        <w:rFonts w:ascii="Wingdings" w:hAnsi="Wingdings" w:hint="default"/>
        <w:sz w:val="20"/>
      </w:rPr>
    </w:lvl>
    <w:lvl w:ilvl="3" w:tplc="C9B8452A">
      <w:start w:val="1"/>
      <w:numFmt w:val="bullet"/>
      <w:lvlText w:val=""/>
      <w:lvlJc w:val="left"/>
      <w:pPr>
        <w:tabs>
          <w:tab w:val="num" w:pos="2880"/>
        </w:tabs>
        <w:ind w:left="2880" w:hanging="360"/>
      </w:pPr>
      <w:rPr>
        <w:rFonts w:ascii="Wingdings" w:hAnsi="Wingdings" w:hint="default"/>
        <w:sz w:val="20"/>
      </w:rPr>
    </w:lvl>
    <w:lvl w:ilvl="4" w:tplc="E910B1FA">
      <w:start w:val="1"/>
      <w:numFmt w:val="bullet"/>
      <w:lvlText w:val=""/>
      <w:lvlJc w:val="left"/>
      <w:pPr>
        <w:tabs>
          <w:tab w:val="num" w:pos="3600"/>
        </w:tabs>
        <w:ind w:left="3600" w:hanging="360"/>
      </w:pPr>
      <w:rPr>
        <w:rFonts w:ascii="Wingdings" w:hAnsi="Wingdings" w:hint="default"/>
        <w:sz w:val="20"/>
      </w:rPr>
    </w:lvl>
    <w:lvl w:ilvl="5" w:tplc="4E30D968">
      <w:start w:val="1"/>
      <w:numFmt w:val="bullet"/>
      <w:lvlText w:val=""/>
      <w:lvlJc w:val="left"/>
      <w:pPr>
        <w:tabs>
          <w:tab w:val="num" w:pos="4320"/>
        </w:tabs>
        <w:ind w:left="4320" w:hanging="360"/>
      </w:pPr>
      <w:rPr>
        <w:rFonts w:ascii="Wingdings" w:hAnsi="Wingdings" w:hint="default"/>
        <w:sz w:val="20"/>
      </w:rPr>
    </w:lvl>
    <w:lvl w:ilvl="6" w:tplc="F9222D1C">
      <w:start w:val="1"/>
      <w:numFmt w:val="bullet"/>
      <w:lvlText w:val=""/>
      <w:lvlJc w:val="left"/>
      <w:pPr>
        <w:tabs>
          <w:tab w:val="num" w:pos="5040"/>
        </w:tabs>
        <w:ind w:left="5040" w:hanging="360"/>
      </w:pPr>
      <w:rPr>
        <w:rFonts w:ascii="Wingdings" w:hAnsi="Wingdings" w:hint="default"/>
        <w:sz w:val="20"/>
      </w:rPr>
    </w:lvl>
    <w:lvl w:ilvl="7" w:tplc="05CCCFC0">
      <w:start w:val="1"/>
      <w:numFmt w:val="bullet"/>
      <w:lvlText w:val=""/>
      <w:lvlJc w:val="left"/>
      <w:pPr>
        <w:tabs>
          <w:tab w:val="num" w:pos="5760"/>
        </w:tabs>
        <w:ind w:left="5760" w:hanging="360"/>
      </w:pPr>
      <w:rPr>
        <w:rFonts w:ascii="Wingdings" w:hAnsi="Wingdings" w:hint="default"/>
        <w:sz w:val="20"/>
      </w:rPr>
    </w:lvl>
    <w:lvl w:ilvl="8" w:tplc="897285A0">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773AD0"/>
    <w:multiLevelType w:val="hybridMultilevel"/>
    <w:tmpl w:val="19BCB49A"/>
    <w:lvl w:ilvl="0" w:tplc="155CB120">
      <w:start w:val="1"/>
      <w:numFmt w:val="bullet"/>
      <w:lvlText w:val=""/>
      <w:lvlJc w:val="left"/>
      <w:pPr>
        <w:tabs>
          <w:tab w:val="num" w:pos="720"/>
        </w:tabs>
        <w:ind w:left="720" w:hanging="360"/>
      </w:pPr>
      <w:rPr>
        <w:rFonts w:ascii="Symbol" w:hAnsi="Symbol" w:hint="default"/>
        <w:sz w:val="20"/>
      </w:rPr>
    </w:lvl>
    <w:lvl w:ilvl="1" w:tplc="A90A64DA">
      <w:start w:val="1"/>
      <w:numFmt w:val="bullet"/>
      <w:lvlText w:val="o"/>
      <w:lvlJc w:val="left"/>
      <w:pPr>
        <w:tabs>
          <w:tab w:val="num" w:pos="1440"/>
        </w:tabs>
        <w:ind w:left="1440" w:hanging="360"/>
      </w:pPr>
      <w:rPr>
        <w:rFonts w:ascii="Courier New" w:hAnsi="Courier New" w:hint="default"/>
        <w:sz w:val="20"/>
      </w:rPr>
    </w:lvl>
    <w:lvl w:ilvl="2" w:tplc="6A34BED6">
      <w:start w:val="1"/>
      <w:numFmt w:val="bullet"/>
      <w:lvlText w:val=""/>
      <w:lvlJc w:val="left"/>
      <w:pPr>
        <w:tabs>
          <w:tab w:val="num" w:pos="2160"/>
        </w:tabs>
        <w:ind w:left="2160" w:hanging="360"/>
      </w:pPr>
      <w:rPr>
        <w:rFonts w:ascii="Wingdings" w:hAnsi="Wingdings" w:hint="default"/>
        <w:sz w:val="20"/>
      </w:rPr>
    </w:lvl>
    <w:lvl w:ilvl="3" w:tplc="8D3CA1A6">
      <w:start w:val="1"/>
      <w:numFmt w:val="bullet"/>
      <w:lvlText w:val=""/>
      <w:lvlJc w:val="left"/>
      <w:pPr>
        <w:tabs>
          <w:tab w:val="num" w:pos="2880"/>
        </w:tabs>
        <w:ind w:left="2880" w:hanging="360"/>
      </w:pPr>
      <w:rPr>
        <w:rFonts w:ascii="Wingdings" w:hAnsi="Wingdings" w:hint="default"/>
        <w:sz w:val="20"/>
      </w:rPr>
    </w:lvl>
    <w:lvl w:ilvl="4" w:tplc="02A84876">
      <w:start w:val="1"/>
      <w:numFmt w:val="bullet"/>
      <w:lvlText w:val=""/>
      <w:lvlJc w:val="left"/>
      <w:pPr>
        <w:tabs>
          <w:tab w:val="num" w:pos="3600"/>
        </w:tabs>
        <w:ind w:left="3600" w:hanging="360"/>
      </w:pPr>
      <w:rPr>
        <w:rFonts w:ascii="Wingdings" w:hAnsi="Wingdings" w:hint="default"/>
        <w:sz w:val="20"/>
      </w:rPr>
    </w:lvl>
    <w:lvl w:ilvl="5" w:tplc="56FC6D90">
      <w:start w:val="1"/>
      <w:numFmt w:val="bullet"/>
      <w:lvlText w:val=""/>
      <w:lvlJc w:val="left"/>
      <w:pPr>
        <w:tabs>
          <w:tab w:val="num" w:pos="4320"/>
        </w:tabs>
        <w:ind w:left="4320" w:hanging="360"/>
      </w:pPr>
      <w:rPr>
        <w:rFonts w:ascii="Wingdings" w:hAnsi="Wingdings" w:hint="default"/>
        <w:sz w:val="20"/>
      </w:rPr>
    </w:lvl>
    <w:lvl w:ilvl="6" w:tplc="929E1EF6">
      <w:start w:val="1"/>
      <w:numFmt w:val="bullet"/>
      <w:lvlText w:val=""/>
      <w:lvlJc w:val="left"/>
      <w:pPr>
        <w:tabs>
          <w:tab w:val="num" w:pos="5040"/>
        </w:tabs>
        <w:ind w:left="5040" w:hanging="360"/>
      </w:pPr>
      <w:rPr>
        <w:rFonts w:ascii="Wingdings" w:hAnsi="Wingdings" w:hint="default"/>
        <w:sz w:val="20"/>
      </w:rPr>
    </w:lvl>
    <w:lvl w:ilvl="7" w:tplc="4DCA8C9E">
      <w:start w:val="1"/>
      <w:numFmt w:val="bullet"/>
      <w:lvlText w:val=""/>
      <w:lvlJc w:val="left"/>
      <w:pPr>
        <w:tabs>
          <w:tab w:val="num" w:pos="5760"/>
        </w:tabs>
        <w:ind w:left="5760" w:hanging="360"/>
      </w:pPr>
      <w:rPr>
        <w:rFonts w:ascii="Wingdings" w:hAnsi="Wingdings" w:hint="default"/>
        <w:sz w:val="20"/>
      </w:rPr>
    </w:lvl>
    <w:lvl w:ilvl="8" w:tplc="2B187E8A">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90124A"/>
    <w:multiLevelType w:val="hybridMultilevel"/>
    <w:tmpl w:val="B1605758"/>
    <w:lvl w:ilvl="0" w:tplc="450A202A">
      <w:start w:val="1"/>
      <w:numFmt w:val="bullet"/>
      <w:lvlText w:val=""/>
      <w:lvlJc w:val="left"/>
      <w:pPr>
        <w:ind w:left="1353" w:hanging="360"/>
      </w:pPr>
      <w:rPr>
        <w:rFonts w:ascii="Symbol" w:hAnsi="Symbol" w:hint="default"/>
      </w:rPr>
    </w:lvl>
    <w:lvl w:ilvl="1" w:tplc="7332CC14">
      <w:start w:val="1"/>
      <w:numFmt w:val="bullet"/>
      <w:lvlText w:val="o"/>
      <w:lvlJc w:val="left"/>
      <w:pPr>
        <w:ind w:left="2073" w:hanging="360"/>
      </w:pPr>
      <w:rPr>
        <w:rFonts w:ascii="Courier New" w:hAnsi="Courier New" w:cs="Courier New" w:hint="default"/>
      </w:rPr>
    </w:lvl>
    <w:lvl w:ilvl="2" w:tplc="BA62C8A0">
      <w:start w:val="1"/>
      <w:numFmt w:val="bullet"/>
      <w:lvlText w:val=""/>
      <w:lvlJc w:val="left"/>
      <w:pPr>
        <w:ind w:left="2793" w:hanging="360"/>
      </w:pPr>
      <w:rPr>
        <w:rFonts w:ascii="Wingdings" w:hAnsi="Wingdings" w:hint="default"/>
      </w:rPr>
    </w:lvl>
    <w:lvl w:ilvl="3" w:tplc="2BB8BE42">
      <w:start w:val="1"/>
      <w:numFmt w:val="bullet"/>
      <w:lvlText w:val=""/>
      <w:lvlJc w:val="left"/>
      <w:pPr>
        <w:ind w:left="3513" w:hanging="360"/>
      </w:pPr>
      <w:rPr>
        <w:rFonts w:ascii="Symbol" w:hAnsi="Symbol" w:hint="default"/>
      </w:rPr>
    </w:lvl>
    <w:lvl w:ilvl="4" w:tplc="60143248">
      <w:start w:val="1"/>
      <w:numFmt w:val="bullet"/>
      <w:lvlText w:val="o"/>
      <w:lvlJc w:val="left"/>
      <w:pPr>
        <w:ind w:left="4233" w:hanging="360"/>
      </w:pPr>
      <w:rPr>
        <w:rFonts w:ascii="Courier New" w:hAnsi="Courier New" w:cs="Courier New" w:hint="default"/>
      </w:rPr>
    </w:lvl>
    <w:lvl w:ilvl="5" w:tplc="3C308426">
      <w:start w:val="1"/>
      <w:numFmt w:val="bullet"/>
      <w:lvlText w:val=""/>
      <w:lvlJc w:val="left"/>
      <w:pPr>
        <w:ind w:left="4953" w:hanging="360"/>
      </w:pPr>
      <w:rPr>
        <w:rFonts w:ascii="Wingdings" w:hAnsi="Wingdings" w:hint="default"/>
      </w:rPr>
    </w:lvl>
    <w:lvl w:ilvl="6" w:tplc="29CA89FE">
      <w:start w:val="1"/>
      <w:numFmt w:val="bullet"/>
      <w:lvlText w:val=""/>
      <w:lvlJc w:val="left"/>
      <w:pPr>
        <w:ind w:left="5673" w:hanging="360"/>
      </w:pPr>
      <w:rPr>
        <w:rFonts w:ascii="Symbol" w:hAnsi="Symbol" w:hint="default"/>
      </w:rPr>
    </w:lvl>
    <w:lvl w:ilvl="7" w:tplc="7374C39C">
      <w:start w:val="1"/>
      <w:numFmt w:val="bullet"/>
      <w:lvlText w:val="o"/>
      <w:lvlJc w:val="left"/>
      <w:pPr>
        <w:ind w:left="6393" w:hanging="360"/>
      </w:pPr>
      <w:rPr>
        <w:rFonts w:ascii="Courier New" w:hAnsi="Courier New" w:cs="Courier New" w:hint="default"/>
      </w:rPr>
    </w:lvl>
    <w:lvl w:ilvl="8" w:tplc="E2683C5C">
      <w:start w:val="1"/>
      <w:numFmt w:val="bullet"/>
      <w:lvlText w:val=""/>
      <w:lvlJc w:val="left"/>
      <w:pPr>
        <w:ind w:left="7113" w:hanging="360"/>
      </w:pPr>
      <w:rPr>
        <w:rFonts w:ascii="Wingdings" w:hAnsi="Wingdings" w:hint="default"/>
      </w:rPr>
    </w:lvl>
  </w:abstractNum>
  <w:abstractNum w:abstractNumId="6" w15:restartNumberingAfterBreak="0">
    <w:nsid w:val="5DBE1593"/>
    <w:multiLevelType w:val="multilevel"/>
    <w:tmpl w:val="2022392C"/>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6B556B08"/>
    <w:multiLevelType w:val="hybridMultilevel"/>
    <w:tmpl w:val="A92EFCD4"/>
    <w:lvl w:ilvl="0" w:tplc="153864CE">
      <w:start w:val="1"/>
      <w:numFmt w:val="bullet"/>
      <w:lvlText w:val=""/>
      <w:lvlJc w:val="left"/>
      <w:pPr>
        <w:ind w:left="1428" w:hanging="360"/>
      </w:pPr>
      <w:rPr>
        <w:rFonts w:ascii="Wingdings" w:hAnsi="Wingdings" w:hint="default"/>
      </w:rPr>
    </w:lvl>
    <w:lvl w:ilvl="1" w:tplc="9D0A0D1A">
      <w:start w:val="1"/>
      <w:numFmt w:val="bullet"/>
      <w:lvlText w:val="o"/>
      <w:lvlJc w:val="left"/>
      <w:pPr>
        <w:ind w:left="2148" w:hanging="360"/>
      </w:pPr>
      <w:rPr>
        <w:rFonts w:ascii="Courier New" w:hAnsi="Courier New" w:cs="Courier New" w:hint="default"/>
      </w:rPr>
    </w:lvl>
    <w:lvl w:ilvl="2" w:tplc="12DA91D2">
      <w:start w:val="1"/>
      <w:numFmt w:val="bullet"/>
      <w:lvlText w:val=""/>
      <w:lvlJc w:val="left"/>
      <w:pPr>
        <w:ind w:left="2868" w:hanging="360"/>
      </w:pPr>
      <w:rPr>
        <w:rFonts w:ascii="Wingdings" w:hAnsi="Wingdings" w:hint="default"/>
      </w:rPr>
    </w:lvl>
    <w:lvl w:ilvl="3" w:tplc="BFC68F94">
      <w:start w:val="1"/>
      <w:numFmt w:val="bullet"/>
      <w:lvlText w:val=""/>
      <w:lvlJc w:val="left"/>
      <w:pPr>
        <w:ind w:left="3588" w:hanging="360"/>
      </w:pPr>
      <w:rPr>
        <w:rFonts w:ascii="Symbol" w:hAnsi="Symbol" w:hint="default"/>
      </w:rPr>
    </w:lvl>
    <w:lvl w:ilvl="4" w:tplc="902C747E">
      <w:start w:val="1"/>
      <w:numFmt w:val="bullet"/>
      <w:lvlText w:val="o"/>
      <w:lvlJc w:val="left"/>
      <w:pPr>
        <w:ind w:left="4308" w:hanging="360"/>
      </w:pPr>
      <w:rPr>
        <w:rFonts w:ascii="Courier New" w:hAnsi="Courier New" w:cs="Courier New" w:hint="default"/>
      </w:rPr>
    </w:lvl>
    <w:lvl w:ilvl="5" w:tplc="A4DAAE4E">
      <w:start w:val="1"/>
      <w:numFmt w:val="bullet"/>
      <w:lvlText w:val=""/>
      <w:lvlJc w:val="left"/>
      <w:pPr>
        <w:ind w:left="5028" w:hanging="360"/>
      </w:pPr>
      <w:rPr>
        <w:rFonts w:ascii="Wingdings" w:hAnsi="Wingdings" w:hint="default"/>
      </w:rPr>
    </w:lvl>
    <w:lvl w:ilvl="6" w:tplc="56764700">
      <w:start w:val="1"/>
      <w:numFmt w:val="bullet"/>
      <w:lvlText w:val=""/>
      <w:lvlJc w:val="left"/>
      <w:pPr>
        <w:ind w:left="5748" w:hanging="360"/>
      </w:pPr>
      <w:rPr>
        <w:rFonts w:ascii="Symbol" w:hAnsi="Symbol" w:hint="default"/>
      </w:rPr>
    </w:lvl>
    <w:lvl w:ilvl="7" w:tplc="5DEEE1E2">
      <w:start w:val="1"/>
      <w:numFmt w:val="bullet"/>
      <w:lvlText w:val="o"/>
      <w:lvlJc w:val="left"/>
      <w:pPr>
        <w:ind w:left="6468" w:hanging="360"/>
      </w:pPr>
      <w:rPr>
        <w:rFonts w:ascii="Courier New" w:hAnsi="Courier New" w:cs="Courier New" w:hint="default"/>
      </w:rPr>
    </w:lvl>
    <w:lvl w:ilvl="8" w:tplc="2CD69852">
      <w:start w:val="1"/>
      <w:numFmt w:val="bullet"/>
      <w:lvlText w:val=""/>
      <w:lvlJc w:val="left"/>
      <w:pPr>
        <w:ind w:left="7188"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1"/>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328"/>
    <w:rsid w:val="002040C9"/>
    <w:rsid w:val="005D7F2B"/>
    <w:rsid w:val="007A61FA"/>
    <w:rsid w:val="00A43A42"/>
    <w:rsid w:val="00B22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264BE"/>
  <w15:docId w15:val="{F6781F7A-C124-486B-9BBB-8E236CEA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paragraph" w:styleId="a8">
    <w:name w:val="header"/>
    <w:basedOn w:val="a"/>
    <w:link w:val="a9"/>
    <w:uiPriority w:val="99"/>
    <w:unhideWhenUsed/>
    <w:pPr>
      <w:tabs>
        <w:tab w:val="center" w:pos="7143"/>
        <w:tab w:val="right" w:pos="14287"/>
      </w:tabs>
      <w:spacing w:after="0" w:line="240" w:lineRule="auto"/>
    </w:pPr>
  </w:style>
  <w:style w:type="character" w:customStyle="1" w:styleId="a9">
    <w:name w:val="Верхний колонтитул Знак"/>
    <w:basedOn w:val="a0"/>
    <w:link w:val="a8"/>
    <w:uiPriority w:val="99"/>
  </w:style>
  <w:style w:type="paragraph" w:styleId="aa">
    <w:name w:val="footer"/>
    <w:basedOn w:val="a"/>
    <w:link w:val="ab"/>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c">
    <w:name w:val="caption"/>
    <w:basedOn w:val="a"/>
    <w:next w:val="a"/>
    <w:uiPriority w:val="35"/>
    <w:semiHidden/>
    <w:unhideWhenUsed/>
    <w:qFormat/>
    <w:pPr>
      <w:spacing w:line="276" w:lineRule="auto"/>
    </w:pPr>
    <w:rPr>
      <w:b/>
      <w:bCs/>
      <w:color w:val="5B9BD5" w:themeColor="accent1"/>
      <w:sz w:val="18"/>
      <w:szCs w:val="18"/>
    </w:rPr>
  </w:style>
  <w:style w:type="character" w:customStyle="1" w:styleId="ab">
    <w:name w:val="Нижний колонтитул Знак"/>
    <w:link w:val="aa"/>
    <w:uiPriority w:val="99"/>
  </w:style>
  <w:style w:type="table" w:styleId="a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paragraph" w:styleId="af6">
    <w:name w:val="List Paragraph"/>
    <w:basedOn w:val="a"/>
    <w:uiPriority w:val="34"/>
    <w:qFormat/>
    <w:pPr>
      <w:ind w:left="720"/>
      <w:contextualSpacing/>
    </w:pPr>
  </w:style>
  <w:style w:type="character" w:styleId="af7">
    <w:name w:val="Hyperlink"/>
    <w:basedOn w:val="a0"/>
    <w:uiPriority w:val="99"/>
    <w:unhideWhenUsed/>
    <w:rPr>
      <w:color w:val="0563C1" w:themeColor="hyperlink"/>
      <w:u w:val="single"/>
    </w:rPr>
  </w:style>
  <w:style w:type="paragraph" w:styleId="af8">
    <w:name w:val="Subtitle"/>
    <w:basedOn w:val="a"/>
    <w:link w:val="af9"/>
    <w:qFormat/>
    <w:pPr>
      <w:spacing w:after="0" w:line="240" w:lineRule="auto"/>
      <w:jc w:val="center"/>
    </w:pPr>
    <w:rPr>
      <w:rFonts w:ascii="Times New Roman" w:eastAsia="Times New Roman" w:hAnsi="Times New Roman" w:cs="Times New Roman"/>
      <w:b/>
      <w:sz w:val="24"/>
      <w:szCs w:val="20"/>
      <w:lang w:eastAsia="ru-RU"/>
    </w:rPr>
  </w:style>
  <w:style w:type="character" w:customStyle="1" w:styleId="af9">
    <w:name w:val="Подзаголовок Знак"/>
    <w:basedOn w:val="a0"/>
    <w:link w:val="af8"/>
    <w:rPr>
      <w:rFonts w:ascii="Times New Roman" w:eastAsia="Times New Roman" w:hAnsi="Times New Roman" w:cs="Times New Roman"/>
      <w:b/>
      <w:sz w:val="24"/>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paragraph" w:styleId="afa">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648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1176</Words>
  <Characters>6707</Characters>
  <Application>Microsoft Office Word</Application>
  <DocSecurity>0</DocSecurity>
  <Lines>55</Lines>
  <Paragraphs>15</Paragraphs>
  <ScaleCrop>false</ScaleCrop>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Черепанова Ирина Сергеевна</dc:creator>
  <cp:keywords/>
  <dc:description/>
  <cp:lastModifiedBy>Лилия lv. Выходцева</cp:lastModifiedBy>
  <cp:revision>4</cp:revision>
  <dcterms:created xsi:type="dcterms:W3CDTF">2024-02-26T03:03:00Z</dcterms:created>
  <dcterms:modified xsi:type="dcterms:W3CDTF">2024-02-26T04:57:00Z</dcterms:modified>
</cp:coreProperties>
</file>