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470" w:rsidRPr="00DE6470" w:rsidRDefault="00DE6470" w:rsidP="0011591E">
      <w:pPr>
        <w:pStyle w:val="a3"/>
        <w:shd w:val="clear" w:color="auto" w:fill="FFFFFF"/>
        <w:spacing w:before="0" w:beforeAutospacing="0" w:after="210" w:afterAutospacing="0" w:line="375" w:lineRule="atLeast"/>
        <w:rPr>
          <w:b/>
          <w:bCs/>
          <w:color w:val="262626"/>
          <w:spacing w:val="-6"/>
        </w:rPr>
      </w:pPr>
      <w:r>
        <w:rPr>
          <w:rFonts w:ascii="Helvetica" w:hAnsi="Helvetica" w:cs="Helvetica"/>
          <w:color w:val="262626"/>
          <w:spacing w:val="-6"/>
        </w:rPr>
        <w:t xml:space="preserve">   </w:t>
      </w:r>
      <w:r w:rsidRPr="00DE6470">
        <w:rPr>
          <w:b/>
          <w:bCs/>
          <w:color w:val="262626"/>
          <w:spacing w:val="-6"/>
        </w:rPr>
        <w:t>Юридические лица</w:t>
      </w:r>
      <w:bookmarkStart w:id="0" w:name="_GoBack"/>
      <w:bookmarkEnd w:id="0"/>
    </w:p>
    <w:p w:rsidR="009A1066" w:rsidRDefault="009A1066" w:rsidP="009A106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 </w:t>
      </w:r>
      <w:r w:rsidR="00DE6470" w:rsidRPr="00B96C0F">
        <w:rPr>
          <w:color w:val="262626"/>
          <w:spacing w:val="-6"/>
        </w:rPr>
        <w:t>Определение объемов электроэнергии, подлежащих оплате в расчетном периоде, осуществляется на основании показаний приборов учета, установленных в отношении энергопринимающих устройств потребителя.</w:t>
      </w:r>
    </w:p>
    <w:p w:rsidR="00DE6470" w:rsidRPr="00B96C0F" w:rsidRDefault="009A1066" w:rsidP="009A106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 </w:t>
      </w:r>
      <w:r w:rsidR="00DE6470" w:rsidRPr="00B96C0F">
        <w:rPr>
          <w:color w:val="262626"/>
          <w:spacing w:val="-6"/>
        </w:rPr>
        <w:t>Однако</w:t>
      </w:r>
      <w:r>
        <w:rPr>
          <w:color w:val="262626"/>
          <w:spacing w:val="-6"/>
        </w:rPr>
        <w:t xml:space="preserve"> </w:t>
      </w:r>
      <w:r w:rsidR="00DE6470" w:rsidRPr="00B96C0F">
        <w:rPr>
          <w:color w:val="262626"/>
          <w:spacing w:val="-6"/>
        </w:rPr>
        <w:t>в ряде случаев для определения объемов электроэнергии, подлежащих оплате в расчетном периоде, используются расчётные способы. </w:t>
      </w:r>
    </w:p>
    <w:p w:rsidR="00DE6470" w:rsidRPr="00B96C0F" w:rsidRDefault="009A1066" w:rsidP="009A1066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</w:t>
      </w:r>
      <w:r w:rsidR="00DE6470" w:rsidRPr="00B96C0F">
        <w:rPr>
          <w:color w:val="262626"/>
          <w:spacing w:val="-6"/>
        </w:rPr>
        <w:t>В соответствии с Основными положениями функционирования розничных рынков электрической энергии, утвержденными постановлением Правительства РФ от 04.05.2012 № 442 (далее – Основные положения), определение объема потребления электрической энергии с применением расчетных способов осуществляется в следующих случаях:</w:t>
      </w:r>
    </w:p>
    <w:p w:rsidR="00DE6470" w:rsidRPr="009A1066" w:rsidRDefault="00DE6470" w:rsidP="009A1066">
      <w:pPr>
        <w:pStyle w:val="a4"/>
        <w:numPr>
          <w:ilvl w:val="0"/>
          <w:numId w:val="18"/>
        </w:num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 w:rsidRPr="009A1066">
        <w:rPr>
          <w:rFonts w:ascii="Times New Roman" w:hAnsi="Times New Roman" w:cs="Times New Roman"/>
          <w:color w:val="212529"/>
          <w:spacing w:val="-6"/>
          <w:sz w:val="24"/>
          <w:szCs w:val="24"/>
        </w:rPr>
        <w:t>в случае непредставления потребителем показаний расчетного прибора учета в установленные сроки (п. 179 Основных положений);</w:t>
      </w:r>
    </w:p>
    <w:p w:rsidR="00DE6470" w:rsidRPr="00B96C0F" w:rsidRDefault="009A1066" w:rsidP="009A1066">
      <w:pPr>
        <w:numPr>
          <w:ilvl w:val="0"/>
          <w:numId w:val="18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в случае неисправности, утраты или истечения срока </w:t>
      </w:r>
      <w:proofErr w:type="spellStart"/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межповерочного</w:t>
      </w:r>
      <w:proofErr w:type="spellEnd"/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интервала расчетного прибора учета либо его демонтажа в связи с поверкой, ремонтом или заменой (п. 179 Основных положений);</w:t>
      </w:r>
    </w:p>
    <w:p w:rsidR="00DE6470" w:rsidRPr="00B96C0F" w:rsidRDefault="009A1066" w:rsidP="009A1066">
      <w:pPr>
        <w:numPr>
          <w:ilvl w:val="0"/>
          <w:numId w:val="18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в случае двукратного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 (п. 182 Основных положений);</w:t>
      </w:r>
    </w:p>
    <w:p w:rsidR="00DE6470" w:rsidRPr="00B96C0F" w:rsidRDefault="009A1066" w:rsidP="009A1066">
      <w:pPr>
        <w:numPr>
          <w:ilvl w:val="0"/>
          <w:numId w:val="18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в случае отсутствия прибора учета, если иное не установлено в п. 179 Основных положений, вплоть до даты допуска прибора учета в эксплуатацию (п. 181 Основных положений):</w:t>
      </w:r>
    </w:p>
    <w:p w:rsidR="00DE6470" w:rsidRPr="00B96C0F" w:rsidRDefault="009A1066" w:rsidP="009A1066">
      <w:pPr>
        <w:numPr>
          <w:ilvl w:val="0"/>
          <w:numId w:val="18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в случае выявления </w:t>
      </w:r>
      <w:proofErr w:type="spellStart"/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безучетного</w:t>
      </w:r>
      <w:proofErr w:type="spellEnd"/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и бездоговорного потребления электрической энергии (п. 187 Основных положений).</w:t>
      </w:r>
    </w:p>
    <w:p w:rsidR="00DE6470" w:rsidRPr="00B96C0F" w:rsidRDefault="009A1066" w:rsidP="009A1066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 </w:t>
      </w:r>
      <w:r w:rsidR="00DE6470" w:rsidRPr="00B96C0F">
        <w:rPr>
          <w:color w:val="262626"/>
          <w:spacing w:val="-6"/>
        </w:rPr>
        <w:t xml:space="preserve">При наступлении оснований, указанных в </w:t>
      </w:r>
      <w:proofErr w:type="spellStart"/>
      <w:r w:rsidR="00DE6470" w:rsidRPr="00B96C0F">
        <w:rPr>
          <w:color w:val="262626"/>
          <w:spacing w:val="-6"/>
        </w:rPr>
        <w:t>п.п</w:t>
      </w:r>
      <w:proofErr w:type="spellEnd"/>
      <w:r w:rsidR="00DE6470" w:rsidRPr="00B96C0F">
        <w:rPr>
          <w:color w:val="262626"/>
          <w:spacing w:val="-6"/>
        </w:rPr>
        <w:t>. 1 и 2 настоящего информационного сообщения, расчет объема потребления электрической энергии осуществляется в следующем порядке:</w:t>
      </w:r>
    </w:p>
    <w:p w:rsidR="00DE6470" w:rsidRPr="00B96C0F" w:rsidRDefault="00DE6470" w:rsidP="009A1066">
      <w:pPr>
        <w:numPr>
          <w:ilvl w:val="0"/>
          <w:numId w:val="19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при наличии контрольного прибора учета используются его показания;</w:t>
      </w:r>
    </w:p>
    <w:p w:rsidR="00DE6470" w:rsidRPr="00B96C0F" w:rsidRDefault="00DE6470" w:rsidP="009A1066">
      <w:pPr>
        <w:numPr>
          <w:ilvl w:val="0"/>
          <w:numId w:val="19"/>
        </w:numPr>
        <w:shd w:val="clear" w:color="auto" w:fill="FFFFFF"/>
        <w:spacing w:after="105" w:line="360" w:lineRule="auto"/>
        <w:ind w:left="9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при отсутствии контрольного прибора учета:</w:t>
      </w:r>
    </w:p>
    <w:p w:rsidR="00DE6470" w:rsidRPr="00B96C0F" w:rsidRDefault="009A1066" w:rsidP="009A1066">
      <w:p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>- Р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асчет осуществляется на основании замещающей информации - показаний расчетного прибора учета за аналогичный расчетный период предыдущего года, а при отсутствии данных - показаний расчетного прибора учета за ближайший расчетный период, когда такие показания имелись.</w:t>
      </w:r>
    </w:p>
    <w:p w:rsidR="00DE6470" w:rsidRPr="00B96C0F" w:rsidRDefault="009A1066" w:rsidP="009A1066">
      <w:p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lastRenderedPageBreak/>
        <w:t xml:space="preserve">- </w:t>
      </w:r>
      <w:r w:rsidR="00DE6470"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t>В случае если в результате поверки прибора учета электрической энергии в порядке, установленном законодательством Российской Федерации об обеспечении единства измерений, не подтверждено его соответствие метрологическим требованиям, то объем потребления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хозяйства, ранее определенный на основании показаний такого прибора учета электрической энергии с истекшим интервалом между поверками, подлежит перерасчету с применением расчетных способов.</w:t>
      </w:r>
    </w:p>
    <w:p w:rsidR="0011591E" w:rsidRDefault="0011591E" w:rsidP="009A10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6C0F">
        <w:rPr>
          <w:rFonts w:ascii="Times New Roman" w:hAnsi="Times New Roman" w:cs="Times New Roman"/>
          <w:color w:val="212529"/>
          <w:spacing w:val="-6"/>
          <w:sz w:val="24"/>
          <w:szCs w:val="24"/>
        </w:rPr>
        <w:br/>
      </w:r>
    </w:p>
    <w:sectPr w:rsidR="0011591E" w:rsidSect="008A6B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1142"/>
    <w:multiLevelType w:val="hybridMultilevel"/>
    <w:tmpl w:val="48B8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736"/>
    <w:multiLevelType w:val="multilevel"/>
    <w:tmpl w:val="35B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3225"/>
    <w:multiLevelType w:val="multilevel"/>
    <w:tmpl w:val="DFE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522AE"/>
    <w:multiLevelType w:val="multilevel"/>
    <w:tmpl w:val="6B80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B3A98"/>
    <w:multiLevelType w:val="hybridMultilevel"/>
    <w:tmpl w:val="E96C6208"/>
    <w:lvl w:ilvl="0" w:tplc="0FA23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CA6478"/>
    <w:multiLevelType w:val="multilevel"/>
    <w:tmpl w:val="51A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B645D"/>
    <w:multiLevelType w:val="multilevel"/>
    <w:tmpl w:val="28D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D7FEA"/>
    <w:multiLevelType w:val="multilevel"/>
    <w:tmpl w:val="311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50A6E"/>
    <w:multiLevelType w:val="multilevel"/>
    <w:tmpl w:val="80F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121E9"/>
    <w:multiLevelType w:val="multilevel"/>
    <w:tmpl w:val="337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0460F"/>
    <w:multiLevelType w:val="multilevel"/>
    <w:tmpl w:val="C68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B4728"/>
    <w:multiLevelType w:val="multilevel"/>
    <w:tmpl w:val="541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81384"/>
    <w:multiLevelType w:val="hybridMultilevel"/>
    <w:tmpl w:val="E96C6208"/>
    <w:lvl w:ilvl="0" w:tplc="0FA23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0C34900"/>
    <w:multiLevelType w:val="multilevel"/>
    <w:tmpl w:val="AEF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A69CD"/>
    <w:multiLevelType w:val="multilevel"/>
    <w:tmpl w:val="77B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864B6"/>
    <w:multiLevelType w:val="multilevel"/>
    <w:tmpl w:val="AE8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A474E"/>
    <w:multiLevelType w:val="multilevel"/>
    <w:tmpl w:val="7EB4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A7784"/>
    <w:multiLevelType w:val="multilevel"/>
    <w:tmpl w:val="996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52F9F"/>
    <w:multiLevelType w:val="hybridMultilevel"/>
    <w:tmpl w:val="472EFC9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C267E23"/>
    <w:multiLevelType w:val="multilevel"/>
    <w:tmpl w:val="A25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0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8B"/>
    <w:rsid w:val="00011BB6"/>
    <w:rsid w:val="000676FC"/>
    <w:rsid w:val="0007057B"/>
    <w:rsid w:val="000E54DD"/>
    <w:rsid w:val="00101018"/>
    <w:rsid w:val="00112713"/>
    <w:rsid w:val="0011591E"/>
    <w:rsid w:val="001B53A4"/>
    <w:rsid w:val="00236470"/>
    <w:rsid w:val="002511B2"/>
    <w:rsid w:val="002760E5"/>
    <w:rsid w:val="003E17BA"/>
    <w:rsid w:val="00477EB1"/>
    <w:rsid w:val="004F3F1E"/>
    <w:rsid w:val="00823ED3"/>
    <w:rsid w:val="00832969"/>
    <w:rsid w:val="00850807"/>
    <w:rsid w:val="008A6B6E"/>
    <w:rsid w:val="008D4C8D"/>
    <w:rsid w:val="009A1066"/>
    <w:rsid w:val="00A80CC1"/>
    <w:rsid w:val="00AA2D6E"/>
    <w:rsid w:val="00AB24C2"/>
    <w:rsid w:val="00AF7308"/>
    <w:rsid w:val="00B96C0F"/>
    <w:rsid w:val="00BE6BE4"/>
    <w:rsid w:val="00C355F1"/>
    <w:rsid w:val="00CA0881"/>
    <w:rsid w:val="00DD34A5"/>
    <w:rsid w:val="00DE498B"/>
    <w:rsid w:val="00DE6470"/>
    <w:rsid w:val="00E4281E"/>
    <w:rsid w:val="00E51F7B"/>
    <w:rsid w:val="00E6622B"/>
    <w:rsid w:val="00E72390"/>
    <w:rsid w:val="00E95BDC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33E4"/>
  <w15:chartTrackingRefBased/>
  <w15:docId w15:val="{EADD0A2D-BC9A-4CED-92C6-F60E225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69"/>
  </w:style>
  <w:style w:type="paragraph" w:styleId="1">
    <w:name w:val="heading 1"/>
    <w:basedOn w:val="a"/>
    <w:next w:val="a"/>
    <w:link w:val="10"/>
    <w:qFormat/>
    <w:rsid w:val="00E428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AF73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F7308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styleId="a3">
    <w:name w:val="Normal (Web)"/>
    <w:basedOn w:val="a"/>
    <w:uiPriority w:val="99"/>
    <w:unhideWhenUsed/>
    <w:rsid w:val="0007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281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8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281E"/>
    <w:rPr>
      <w:color w:val="0563C1" w:themeColor="hyperlink"/>
      <w:u w:val="single"/>
    </w:rPr>
  </w:style>
  <w:style w:type="paragraph" w:customStyle="1" w:styleId="a6">
    <w:name w:val="Заголовок статьи"/>
    <w:basedOn w:val="a"/>
    <w:next w:val="a"/>
    <w:uiPriority w:val="99"/>
    <w:rsid w:val="00E428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E132-71B4-46AB-AB59-A6EB8BEE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Циттель Лилия Федоровна</dc:creator>
  <cp:keywords/>
  <dc:description/>
  <cp:lastModifiedBy>Лилия lv. Выходцева</cp:lastModifiedBy>
  <cp:revision>2</cp:revision>
  <dcterms:created xsi:type="dcterms:W3CDTF">2024-02-26T07:35:00Z</dcterms:created>
  <dcterms:modified xsi:type="dcterms:W3CDTF">2024-02-26T07:35:00Z</dcterms:modified>
</cp:coreProperties>
</file>